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鄞州区司法局</w:t>
      </w:r>
    </w:p>
    <w:p>
      <w:pPr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2017年度政府信息公开年度报告</w:t>
      </w:r>
    </w:p>
    <w:p>
      <w:pPr>
        <w:ind w:firstLine="584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年度报告根据《中华人民共和国政府信息公开条例》（以下简称《条例》）和《宁波市政府信息公开规定》（以下简称《规定》）要求，及鄞州区府办《关于对2017年度政府信息公开工作进行目标管理考核的通知》精神要求，结合我局实际情况，进行了自我检查和自评。该报告由鄞州区司法局办公室编制而成，全文包括概述、主动公开政府信息情况、依申请公开政府信息情况、政府信息公开类行政复议、行政诉讼情况、信息公开收费及减免情况、存在的主要问题和改进措施等。报告中所列数据的统计期限从2017年1月1日到12月31日止。本年度报告的电子版可以从“中国鄞州”门户网站（</w:t>
      </w:r>
      <w:r>
        <w:fldChar w:fldCharType="begin"/>
      </w:r>
      <w:r>
        <w:instrText xml:space="preserve"> HYPERLINK "http://www.nbyz.gov.cn/" </w:instrText>
      </w:r>
      <w:r>
        <w:fldChar w:fldCharType="separate"/>
      </w:r>
      <w:r>
        <w:rPr>
          <w:rFonts w:hint="eastAsia" w:ascii="仿宋_GB2312" w:eastAsia="仿宋_GB2312"/>
          <w:sz w:val="30"/>
          <w:szCs w:val="30"/>
        </w:rPr>
        <w:t>http://www.nbyz.gov.cn/</w:t>
      </w:r>
      <w:r>
        <w:rPr>
          <w:rFonts w:hint="eastAsia" w:ascii="仿宋_GB2312" w:eastAsia="仿宋_GB2312"/>
          <w:sz w:val="30"/>
          <w:szCs w:val="30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）上下载。如对本年度报告有任何疑问，请与鄞州区司法局办公室联系。联系电话：0574-87525868；传真：87525859；通信地址：宁波市鄞州区惠风东路568号A楼司法局办公室；邮编：315100；电子邮箱：</w:t>
      </w:r>
      <w:r>
        <w:fldChar w:fldCharType="begin"/>
      </w:r>
      <w:r>
        <w:instrText xml:space="preserve"> HYPERLINK "mailto:sfj@nbyz.gov.cn" </w:instrText>
      </w:r>
      <w:r>
        <w:fldChar w:fldCharType="separate"/>
      </w:r>
      <w:r>
        <w:rPr>
          <w:rFonts w:hint="eastAsia" w:ascii="仿宋_GB2312" w:eastAsia="仿宋_GB2312"/>
          <w:sz w:val="30"/>
          <w:szCs w:val="30"/>
        </w:rPr>
        <w:t>sfj@nbyz.gov.cn</w:t>
      </w:r>
      <w:r>
        <w:rPr>
          <w:rFonts w:hint="eastAsia" w:ascii="仿宋_GB2312" w:eastAsia="仿宋_GB2312"/>
          <w:sz w:val="30"/>
          <w:szCs w:val="30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ind w:firstLine="600" w:firstLineChars="200"/>
        <w:rPr>
          <w:rFonts w:ascii="黑体" w:eastAsia="黑体"/>
          <w:spacing w:val="0"/>
          <w:sz w:val="30"/>
          <w:szCs w:val="30"/>
        </w:rPr>
      </w:pPr>
      <w:r>
        <w:rPr>
          <w:rFonts w:hint="eastAsia" w:ascii="黑体" w:eastAsia="黑体"/>
          <w:spacing w:val="0"/>
          <w:sz w:val="30"/>
          <w:szCs w:val="30"/>
        </w:rPr>
        <w:t>一、概况</w:t>
      </w:r>
    </w:p>
    <w:p>
      <w:pPr>
        <w:ind w:firstLine="602" w:firstLineChars="200"/>
        <w:rPr>
          <w:rFonts w:ascii="仿宋_GB2312" w:eastAsia="仿宋_GB2312"/>
          <w:b/>
          <w:spacing w:val="0"/>
          <w:sz w:val="30"/>
          <w:szCs w:val="30"/>
        </w:rPr>
      </w:pPr>
      <w:r>
        <w:rPr>
          <w:rFonts w:hint="eastAsia" w:ascii="仿宋_GB2312" w:eastAsia="仿宋_GB2312"/>
          <w:b/>
          <w:spacing w:val="0"/>
          <w:sz w:val="30"/>
          <w:szCs w:val="30"/>
        </w:rPr>
        <w:t>（一）组织领导和规范化建设情况</w:t>
      </w:r>
    </w:p>
    <w:p>
      <w:pPr>
        <w:ind w:firstLine="600" w:firstLineChars="200"/>
        <w:rPr>
          <w:rFonts w:ascii="仿宋_GB2312" w:eastAsia="仿宋_GB2312"/>
          <w:spacing w:val="0"/>
          <w:sz w:val="30"/>
          <w:szCs w:val="30"/>
        </w:rPr>
      </w:pPr>
      <w:r>
        <w:rPr>
          <w:rFonts w:hint="eastAsia" w:ascii="仿宋_GB2312" w:eastAsia="仿宋_GB2312"/>
          <w:spacing w:val="0"/>
          <w:sz w:val="30"/>
          <w:szCs w:val="30"/>
        </w:rPr>
        <w:t>为贯彻实施《中华人民共和国政府信息公开条例》，我局对政府信息公开工作进行了认真研究和部署，明确由俞伟民副局长分管，办公室具体负责实施，严格按照鄞政办发[2011]112号文件的要求，从建立健全政府信息查阅方式、统筹协调编制政府信息公开指南和目录等方面着手，建立政府信息公开审查、依申请公开审查、责任追究、新闻发言人、公开考核等一系列制度,全面推进我局政府信息公开工作。</w:t>
      </w:r>
    </w:p>
    <w:p>
      <w:pPr>
        <w:ind w:firstLine="602" w:firstLineChars="200"/>
        <w:rPr>
          <w:rFonts w:ascii="仿宋_GB2312" w:eastAsia="仿宋_GB2312"/>
          <w:b/>
          <w:spacing w:val="0"/>
          <w:sz w:val="30"/>
          <w:szCs w:val="30"/>
        </w:rPr>
      </w:pPr>
      <w:r>
        <w:rPr>
          <w:rFonts w:hint="eastAsia" w:ascii="仿宋_GB2312" w:eastAsia="仿宋_GB2312"/>
          <w:b/>
          <w:spacing w:val="0"/>
          <w:sz w:val="30"/>
          <w:szCs w:val="30"/>
        </w:rPr>
        <w:t>（二）落实和制定相关配套措施</w:t>
      </w:r>
    </w:p>
    <w:p>
      <w:pPr>
        <w:ind w:firstLine="600" w:firstLineChars="200"/>
        <w:rPr>
          <w:rFonts w:ascii="仿宋_GB2312" w:eastAsia="仿宋_GB2312"/>
          <w:spacing w:val="0"/>
          <w:sz w:val="30"/>
          <w:szCs w:val="30"/>
        </w:rPr>
      </w:pPr>
      <w:r>
        <w:rPr>
          <w:rFonts w:hint="eastAsia" w:ascii="仿宋_GB2312" w:eastAsia="仿宋_GB2312"/>
          <w:spacing w:val="0"/>
          <w:sz w:val="30"/>
          <w:szCs w:val="30"/>
        </w:rPr>
        <w:t>1、建立政府信息公开平台。为规范政府信息公开申请处理流程，提高工作效率，我局依托区政府信息公开网站和局网站建成了“鄞州区司法局政府信息公开”网页，设有“区司法局政府信息公开指南”、“区司法局政府信息公开目录”、“依申请公开”共3个栏目，其中“政府信息公开目录”包括“机构概况”、“政府决策”、“工作信息”、“法规公文”、“办事指南”、“社会监督”共6个子栏目。搭建起政府信息发布统一平台，初步形成目录规范、编码统一、结构合理、层次清晰、覆盖面广、易于监测的政府信息公开网站体系。</w:t>
      </w:r>
    </w:p>
    <w:p>
      <w:pPr>
        <w:ind w:firstLine="600" w:firstLineChars="200"/>
        <w:rPr>
          <w:rFonts w:ascii="仿宋_GB2312" w:eastAsia="仿宋_GB2312"/>
          <w:spacing w:val="0"/>
          <w:sz w:val="30"/>
          <w:szCs w:val="30"/>
        </w:rPr>
      </w:pPr>
      <w:r>
        <w:rPr>
          <w:rFonts w:hint="eastAsia" w:ascii="仿宋_GB2312" w:eastAsia="仿宋_GB2312"/>
          <w:spacing w:val="0"/>
          <w:sz w:val="30"/>
          <w:szCs w:val="30"/>
        </w:rPr>
        <w:t>2、建设信息查阅场所。按照《条例》要求，确定局办公室为政府信息查阅场所，添置查阅、打印、复印等设备，方便公众查阅。</w:t>
      </w:r>
    </w:p>
    <w:p>
      <w:pPr>
        <w:ind w:firstLine="600" w:firstLineChars="200"/>
        <w:rPr>
          <w:rFonts w:ascii="仿宋_GB2312" w:eastAsia="仿宋_GB2312"/>
          <w:spacing w:val="0"/>
          <w:sz w:val="30"/>
          <w:szCs w:val="30"/>
        </w:rPr>
      </w:pPr>
      <w:r>
        <w:rPr>
          <w:rFonts w:hint="eastAsia" w:ascii="仿宋_GB2312" w:eastAsia="仿宋_GB2312"/>
          <w:spacing w:val="0"/>
          <w:sz w:val="30"/>
          <w:szCs w:val="30"/>
        </w:rPr>
        <w:t>3、根据上级要求，将“鄞州法治网”进行了及时整合。版面进行适当调整，使网站资源更加简洁明了。</w:t>
      </w:r>
    </w:p>
    <w:p>
      <w:pPr>
        <w:ind w:firstLine="600" w:firstLineChars="200"/>
        <w:rPr>
          <w:rFonts w:ascii="仿宋_GB2312" w:eastAsia="仿宋_GB2312"/>
          <w:spacing w:val="0"/>
          <w:sz w:val="30"/>
          <w:szCs w:val="30"/>
        </w:rPr>
      </w:pPr>
      <w:r>
        <w:rPr>
          <w:rFonts w:hint="eastAsia" w:ascii="仿宋_GB2312" w:eastAsia="仿宋_GB2312"/>
          <w:spacing w:val="0"/>
          <w:sz w:val="30"/>
          <w:szCs w:val="30"/>
        </w:rPr>
        <w:t>4、完善政府新闻发布和新闻发言人制度。根据全区统一要求，局党组经过讨论，明确杜光华副局长作为司法局新闻发言人，同时落实相关新闻发布制度。</w:t>
      </w:r>
    </w:p>
    <w:p>
      <w:pPr>
        <w:ind w:firstLine="602" w:firstLineChars="200"/>
        <w:rPr>
          <w:rFonts w:ascii="仿宋_GB2312" w:eastAsia="仿宋_GB2312"/>
          <w:b/>
          <w:spacing w:val="0"/>
          <w:sz w:val="30"/>
          <w:szCs w:val="30"/>
        </w:rPr>
      </w:pPr>
      <w:r>
        <w:rPr>
          <w:rFonts w:hint="eastAsia" w:ascii="仿宋_GB2312" w:eastAsia="仿宋_GB2312"/>
          <w:b/>
          <w:spacing w:val="0"/>
          <w:sz w:val="30"/>
          <w:szCs w:val="30"/>
        </w:rPr>
        <w:t>（三）建立健全工作机制</w:t>
      </w:r>
    </w:p>
    <w:p>
      <w:pPr>
        <w:ind w:firstLine="600" w:firstLineChars="200"/>
        <w:rPr>
          <w:rFonts w:ascii="仿宋_GB2312" w:eastAsia="仿宋_GB2312"/>
          <w:spacing w:val="0"/>
          <w:sz w:val="30"/>
          <w:szCs w:val="30"/>
        </w:rPr>
      </w:pPr>
      <w:r>
        <w:rPr>
          <w:rFonts w:hint="eastAsia" w:ascii="仿宋_GB2312" w:eastAsia="仿宋_GB2312"/>
          <w:spacing w:val="0"/>
          <w:sz w:val="30"/>
          <w:szCs w:val="30"/>
        </w:rPr>
        <w:t>根据规定并结合我局工作实际，建立相关的工作机制，具体涉及政府信息发布协调、保密审查和依申请公开等多项制度，并在局办公室设立依申请公开受理点。同时，建立政府信息公开等具体工作流程，明确分工、细化步骤、优化流程，确保政府信息及时主动公开，信息公开申请及时办理反馈。</w:t>
      </w:r>
    </w:p>
    <w:p>
      <w:pPr>
        <w:pStyle w:val="5"/>
        <w:spacing w:before="0" w:beforeAutospacing="0" w:after="0" w:afterAutospacing="0" w:line="240" w:lineRule="auto"/>
        <w:ind w:firstLine="602" w:firstLineChars="200"/>
        <w:jc w:val="both"/>
        <w:rPr>
          <w:rFonts w:ascii="仿宋_GB2312" w:hAnsi="Times New Roman" w:eastAsia="仿宋_GB2312"/>
          <w:b/>
          <w:kern w:val="2"/>
          <w:sz w:val="30"/>
          <w:szCs w:val="30"/>
        </w:rPr>
      </w:pPr>
      <w:r>
        <w:rPr>
          <w:rFonts w:hint="eastAsia" w:ascii="仿宋_GB2312" w:hAnsi="Times New Roman" w:eastAsia="仿宋_GB2312"/>
          <w:b/>
          <w:kern w:val="2"/>
          <w:sz w:val="30"/>
          <w:szCs w:val="30"/>
        </w:rPr>
        <w:t>（四）开展学习、宣传活动</w:t>
      </w:r>
    </w:p>
    <w:p>
      <w:pPr>
        <w:ind w:firstLine="600" w:firstLineChars="200"/>
        <w:rPr>
          <w:rFonts w:ascii="仿宋_GB2312" w:eastAsia="仿宋_GB2312"/>
          <w:spacing w:val="0"/>
          <w:sz w:val="30"/>
          <w:szCs w:val="30"/>
        </w:rPr>
      </w:pPr>
      <w:r>
        <w:rPr>
          <w:rFonts w:hint="eastAsia" w:ascii="仿宋_GB2312" w:eastAsia="仿宋_GB2312"/>
          <w:spacing w:val="0"/>
          <w:sz w:val="30"/>
          <w:szCs w:val="30"/>
        </w:rPr>
        <w:t>1、认真参加信息公开工作的学习。积极派员参加区政府组织的有关会议、培训，认真学习相关文件，按要求规范制定《</w:t>
      </w:r>
      <w:r>
        <w:rPr>
          <w:rFonts w:ascii="仿宋_GB2312" w:eastAsia="仿宋_GB2312"/>
          <w:spacing w:val="0"/>
          <w:sz w:val="30"/>
          <w:szCs w:val="30"/>
        </w:rPr>
        <w:t>政府信息公开指南</w:t>
      </w:r>
      <w:r>
        <w:rPr>
          <w:rFonts w:hint="eastAsia" w:ascii="仿宋_GB2312" w:eastAsia="仿宋_GB2312"/>
          <w:spacing w:val="0"/>
          <w:sz w:val="30"/>
          <w:szCs w:val="30"/>
        </w:rPr>
        <w:t>》和《政府信息公开目录》。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cs" w:ascii="仿宋_GB2312" w:eastAsia="仿宋_GB2312"/>
          <w:spacing w:val="0"/>
          <w:sz w:val="30"/>
          <w:szCs w:val="30"/>
          <w:cs/>
        </w:rPr>
        <w:t> </w:t>
      </w:r>
      <w:r>
        <w:rPr>
          <w:rFonts w:hint="eastAsia" w:ascii="仿宋_GB2312" w:eastAsia="仿宋_GB2312"/>
          <w:spacing w:val="0"/>
          <w:sz w:val="30"/>
          <w:szCs w:val="30"/>
        </w:rPr>
        <w:t>2、做好《</w:t>
      </w:r>
      <w:r>
        <w:rPr>
          <w:rFonts w:hint="eastAsia" w:ascii="仿宋_GB2312" w:eastAsia="仿宋_GB2312"/>
          <w:spacing w:val="0"/>
          <w:sz w:val="30"/>
          <w:szCs w:val="30"/>
          <w:lang w:val="en-US" w:eastAsia="zh-CN"/>
        </w:rPr>
        <w:t>中华人民共和国</w:t>
      </w:r>
      <w:bookmarkStart w:id="0" w:name="_GoBack"/>
      <w:bookmarkEnd w:id="0"/>
      <w:r>
        <w:rPr>
          <w:rFonts w:hint="eastAsia" w:ascii="仿宋_GB2312" w:eastAsia="仿宋_GB2312"/>
          <w:spacing w:val="0"/>
          <w:sz w:val="30"/>
          <w:szCs w:val="30"/>
        </w:rPr>
        <w:t>政府信息公开条例》的宣传。发挥我局法律宣传的职能作用，通过</w:t>
      </w:r>
      <w:r>
        <w:rPr>
          <w:rFonts w:ascii="仿宋_GB2312" w:eastAsia="仿宋_GB2312"/>
          <w:spacing w:val="0"/>
          <w:sz w:val="30"/>
          <w:szCs w:val="30"/>
        </w:rPr>
        <w:t>组织开展各种形式的</w:t>
      </w:r>
      <w:r>
        <w:rPr>
          <w:rFonts w:hint="eastAsia" w:ascii="仿宋_GB2312" w:eastAsia="仿宋_GB2312"/>
          <w:spacing w:val="0"/>
          <w:sz w:val="30"/>
          <w:szCs w:val="30"/>
        </w:rPr>
        <w:t>法制宣传</w:t>
      </w:r>
      <w:r>
        <w:rPr>
          <w:rFonts w:ascii="仿宋_GB2312" w:eastAsia="仿宋_GB2312"/>
          <w:spacing w:val="0"/>
          <w:sz w:val="30"/>
          <w:szCs w:val="30"/>
        </w:rPr>
        <w:t>活动，如</w:t>
      </w:r>
      <w:r>
        <w:rPr>
          <w:rFonts w:hint="eastAsia" w:ascii="仿宋_GB2312" w:eastAsia="仿宋_GB2312"/>
          <w:spacing w:val="0"/>
          <w:sz w:val="30"/>
          <w:szCs w:val="30"/>
        </w:rPr>
        <w:t>“12·4”国家宪法日、送法下乡、法律“六进”等活动</w:t>
      </w:r>
      <w:r>
        <w:rPr>
          <w:rFonts w:ascii="仿宋_GB2312" w:eastAsia="仿宋_GB2312"/>
          <w:spacing w:val="0"/>
          <w:sz w:val="30"/>
          <w:szCs w:val="30"/>
        </w:rPr>
        <w:t>，把信息公开工作进一步推向深入，</w:t>
      </w:r>
      <w:r>
        <w:rPr>
          <w:rFonts w:hint="eastAsia" w:ascii="仿宋_GB2312" w:eastAsia="仿宋_GB2312"/>
          <w:spacing w:val="0"/>
          <w:sz w:val="30"/>
          <w:szCs w:val="30"/>
        </w:rPr>
        <w:t>有力推动</w:t>
      </w:r>
      <w:r>
        <w:rPr>
          <w:rFonts w:ascii="仿宋_GB2312" w:eastAsia="仿宋_GB2312"/>
          <w:spacing w:val="0"/>
          <w:sz w:val="30"/>
          <w:szCs w:val="30"/>
        </w:rPr>
        <w:t>建设公开透明政府，保障公众知情权、监督权</w:t>
      </w:r>
      <w:r>
        <w:rPr>
          <w:rFonts w:hint="eastAsia" w:ascii="仿宋_GB2312" w:eastAsia="仿宋_GB2312"/>
          <w:spacing w:val="0"/>
          <w:sz w:val="30"/>
          <w:szCs w:val="30"/>
        </w:rPr>
        <w:t>的各项工作，进一步提高机关干部和广大群众的依法公开意识，</w:t>
      </w:r>
      <w:r>
        <w:rPr>
          <w:rFonts w:ascii="仿宋_GB2312" w:eastAsia="仿宋_GB2312"/>
          <w:spacing w:val="0"/>
          <w:sz w:val="30"/>
          <w:szCs w:val="30"/>
        </w:rPr>
        <w:t>取得良好效果</w:t>
      </w:r>
      <w:r>
        <w:rPr>
          <w:rFonts w:hint="eastAsia" w:ascii="仿宋_GB2312" w:eastAsia="仿宋_GB2312"/>
          <w:spacing w:val="0"/>
          <w:sz w:val="30"/>
          <w:szCs w:val="30"/>
        </w:rPr>
        <w:t>。</w:t>
      </w:r>
    </w:p>
    <w:p>
      <w:pPr>
        <w:ind w:firstLine="600" w:firstLineChars="200"/>
        <w:rPr>
          <w:rFonts w:ascii="黑体" w:eastAsia="黑体"/>
          <w:spacing w:val="0"/>
          <w:sz w:val="30"/>
          <w:szCs w:val="30"/>
        </w:rPr>
      </w:pPr>
      <w:r>
        <w:rPr>
          <w:rFonts w:hint="eastAsia" w:ascii="黑体" w:eastAsia="黑体"/>
          <w:spacing w:val="0"/>
          <w:sz w:val="30"/>
          <w:szCs w:val="30"/>
        </w:rPr>
        <w:t>二、主动公开政府信息情况</w:t>
      </w:r>
    </w:p>
    <w:p>
      <w:pPr>
        <w:rPr>
          <w:rFonts w:ascii="仿宋_GB2312" w:eastAsia="仿宋_GB2312"/>
          <w:spacing w:val="0"/>
          <w:sz w:val="30"/>
          <w:szCs w:val="30"/>
        </w:rPr>
      </w:pPr>
      <w:r>
        <w:rPr>
          <w:rFonts w:hint="eastAsia" w:ascii="仿宋_GB2312" w:eastAsia="仿宋_GB2312"/>
          <w:spacing w:val="0"/>
          <w:sz w:val="30"/>
          <w:szCs w:val="30"/>
        </w:rPr>
        <w:t>为保障政府信息主动公开的时效性、完整性和真实性，属于主动公开范畴的政府信息在形成或更新20天内发布，做到公开办理的事项内容及要求与实际办理的情况坚决一致，公开的信息量与实际公开内容相符。我局2017年截至12月底公开的信息量为246条，其中工作信息217条，法规公文26篇，财政信息3条。</w:t>
      </w:r>
    </w:p>
    <w:p>
      <w:pPr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pict>
          <v:shape id="_x0000_s1026" o:spid="_x0000_s1026" o:spt="202" type="#_x0000_t202" style="position:absolute;left:0pt;margin-left:3.75pt;margin-top:19.2pt;height:273.15pt;width:414.45pt;z-index:251659264;mso-width-relative:margin;mso-height-relative:margin;" coordsize="21600,21600">
            <v:path/>
            <v:fill focussize="0,0"/>
            <v:stroke joinstyle="miter"/>
            <v:imagedata o:title=""/>
            <o:lock v:ext="edit"/>
            <v:textbox style="mso-fit-shape-to-text:t;">
              <w:txbxContent>
                <w:p>
                  <w:pPr>
                    <w:jc w:val="center"/>
                  </w:pPr>
                  <w:r>
                    <w:drawing>
                      <wp:inline distT="0" distB="0" distL="0" distR="0">
                        <wp:extent cx="4861560" cy="3246120"/>
                        <wp:effectExtent l="19050" t="0" r="0" b="0"/>
                        <wp:docPr id="2" name="图片 1" descr="C:\Users\admin\Desktop\2017年图表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图片 1" descr="C:\Users\admin\Desktop\2017年图表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61560" cy="32461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>
      <w:pPr>
        <w:ind w:firstLine="584" w:firstLineChars="200"/>
        <w:rPr>
          <w:rFonts w:ascii="黑体" w:eastAsia="黑体"/>
          <w:sz w:val="30"/>
          <w:szCs w:val="30"/>
        </w:rPr>
      </w:pPr>
    </w:p>
    <w:p>
      <w:pPr>
        <w:ind w:firstLine="584" w:firstLineChars="200"/>
        <w:rPr>
          <w:rFonts w:ascii="黑体" w:eastAsia="黑体"/>
          <w:sz w:val="30"/>
          <w:szCs w:val="30"/>
        </w:rPr>
      </w:pPr>
    </w:p>
    <w:p>
      <w:pPr>
        <w:ind w:firstLine="584" w:firstLineChars="200"/>
        <w:rPr>
          <w:rFonts w:ascii="黑体" w:eastAsia="黑体"/>
          <w:sz w:val="30"/>
          <w:szCs w:val="30"/>
        </w:rPr>
      </w:pPr>
    </w:p>
    <w:p>
      <w:pPr>
        <w:ind w:firstLine="584" w:firstLineChars="200"/>
        <w:rPr>
          <w:rFonts w:ascii="黑体" w:eastAsia="黑体"/>
          <w:sz w:val="30"/>
          <w:szCs w:val="30"/>
        </w:rPr>
      </w:pPr>
    </w:p>
    <w:p>
      <w:pPr>
        <w:ind w:firstLine="584" w:firstLineChars="200"/>
        <w:rPr>
          <w:rFonts w:ascii="黑体" w:eastAsia="黑体"/>
          <w:sz w:val="30"/>
          <w:szCs w:val="30"/>
        </w:rPr>
      </w:pPr>
    </w:p>
    <w:p>
      <w:pPr>
        <w:ind w:firstLine="584" w:firstLineChars="200"/>
        <w:rPr>
          <w:rFonts w:ascii="黑体" w:eastAsia="黑体"/>
          <w:sz w:val="30"/>
          <w:szCs w:val="30"/>
        </w:rPr>
      </w:pPr>
    </w:p>
    <w:p>
      <w:pPr>
        <w:ind w:firstLine="584" w:firstLineChars="200"/>
        <w:rPr>
          <w:rFonts w:ascii="黑体" w:eastAsia="黑体"/>
          <w:sz w:val="30"/>
          <w:szCs w:val="30"/>
        </w:rPr>
      </w:pPr>
    </w:p>
    <w:p>
      <w:pPr>
        <w:ind w:firstLine="584" w:firstLineChars="200"/>
        <w:rPr>
          <w:rFonts w:ascii="黑体" w:eastAsia="黑体"/>
          <w:sz w:val="30"/>
          <w:szCs w:val="30"/>
        </w:rPr>
      </w:pPr>
    </w:p>
    <w:p>
      <w:pPr>
        <w:ind w:firstLine="584" w:firstLineChars="200"/>
        <w:rPr>
          <w:rFonts w:ascii="黑体" w:eastAsia="黑体"/>
          <w:sz w:val="30"/>
          <w:szCs w:val="30"/>
        </w:rPr>
      </w:pPr>
    </w:p>
    <w:p>
      <w:pPr>
        <w:ind w:firstLine="600" w:firstLineChars="200"/>
        <w:rPr>
          <w:rFonts w:ascii="黑体" w:eastAsia="黑体"/>
          <w:spacing w:val="0"/>
          <w:sz w:val="30"/>
          <w:szCs w:val="30"/>
        </w:rPr>
      </w:pPr>
      <w:r>
        <w:rPr>
          <w:rFonts w:hint="eastAsia" w:ascii="黑体" w:eastAsia="黑体"/>
          <w:spacing w:val="0"/>
          <w:sz w:val="30"/>
          <w:szCs w:val="30"/>
        </w:rPr>
        <w:t>三、依申请公开政府信息情况</w:t>
      </w:r>
    </w:p>
    <w:p>
      <w:pPr>
        <w:ind w:firstLine="600" w:firstLineChars="200"/>
        <w:rPr>
          <w:rFonts w:ascii="仿宋_GB2312" w:eastAsia="仿宋_GB2312"/>
          <w:spacing w:val="0"/>
          <w:sz w:val="30"/>
          <w:szCs w:val="30"/>
        </w:rPr>
      </w:pPr>
      <w:r>
        <w:rPr>
          <w:rFonts w:hint="eastAsia" w:ascii="仿宋_GB2312" w:eastAsia="仿宋_GB2312"/>
          <w:spacing w:val="0"/>
          <w:sz w:val="30"/>
          <w:szCs w:val="30"/>
        </w:rPr>
        <w:t>2017年度，我局未收到依申请公开政府信息申请。</w:t>
      </w:r>
    </w:p>
    <w:p>
      <w:pPr>
        <w:ind w:firstLine="600" w:firstLineChars="200"/>
        <w:rPr>
          <w:rFonts w:ascii="黑体" w:eastAsia="黑体"/>
          <w:spacing w:val="0"/>
          <w:sz w:val="30"/>
          <w:szCs w:val="30"/>
        </w:rPr>
      </w:pPr>
      <w:r>
        <w:rPr>
          <w:rFonts w:hint="eastAsia" w:ascii="黑体" w:eastAsia="黑体"/>
          <w:spacing w:val="0"/>
          <w:sz w:val="30"/>
          <w:szCs w:val="30"/>
        </w:rPr>
        <w:t>四、政府信息公开收费及减免情况</w:t>
      </w:r>
    </w:p>
    <w:p>
      <w:pPr>
        <w:ind w:firstLine="600" w:firstLineChars="200"/>
        <w:rPr>
          <w:rFonts w:ascii="仿宋_GB2312" w:eastAsia="仿宋_GB2312"/>
          <w:spacing w:val="0"/>
          <w:sz w:val="30"/>
          <w:szCs w:val="30"/>
        </w:rPr>
      </w:pPr>
      <w:r>
        <w:rPr>
          <w:rFonts w:hint="eastAsia" w:ascii="仿宋_GB2312" w:eastAsia="仿宋_GB2312"/>
          <w:spacing w:val="0"/>
          <w:sz w:val="30"/>
          <w:szCs w:val="30"/>
        </w:rPr>
        <w:t>2017年度，我局无政府信息公开收费及减免情况。</w:t>
      </w:r>
    </w:p>
    <w:p>
      <w:pPr>
        <w:ind w:firstLine="600" w:firstLineChars="200"/>
        <w:rPr>
          <w:rFonts w:ascii="黑体" w:eastAsia="黑体"/>
          <w:spacing w:val="0"/>
          <w:sz w:val="30"/>
          <w:szCs w:val="30"/>
        </w:rPr>
      </w:pPr>
      <w:r>
        <w:rPr>
          <w:rFonts w:hint="eastAsia" w:ascii="黑体" w:eastAsia="黑体"/>
          <w:spacing w:val="0"/>
          <w:sz w:val="30"/>
          <w:szCs w:val="30"/>
        </w:rPr>
        <w:t>五、因政府信息公开申请行政复议、提起行政诉讼的情况</w:t>
      </w:r>
    </w:p>
    <w:p>
      <w:pPr>
        <w:ind w:firstLine="600" w:firstLineChars="200"/>
        <w:rPr>
          <w:rFonts w:ascii="仿宋_GB2312" w:eastAsia="仿宋_GB2312"/>
          <w:spacing w:val="0"/>
          <w:sz w:val="30"/>
          <w:szCs w:val="30"/>
        </w:rPr>
      </w:pPr>
      <w:r>
        <w:rPr>
          <w:rFonts w:hint="eastAsia" w:ascii="仿宋_GB2312" w:eastAsia="仿宋_GB2312"/>
          <w:spacing w:val="0"/>
          <w:sz w:val="30"/>
          <w:szCs w:val="30"/>
        </w:rPr>
        <w:t>2017年度，我局未出现因政府信息公开被申请行政复议、提起诉讼的情况。</w:t>
      </w:r>
    </w:p>
    <w:p>
      <w:pPr>
        <w:ind w:firstLine="600" w:firstLineChars="200"/>
        <w:rPr>
          <w:rFonts w:ascii="黑体" w:eastAsia="黑体"/>
          <w:spacing w:val="0"/>
          <w:sz w:val="30"/>
          <w:szCs w:val="30"/>
        </w:rPr>
      </w:pPr>
      <w:r>
        <w:rPr>
          <w:rFonts w:hint="eastAsia" w:ascii="黑体" w:eastAsia="黑体"/>
          <w:spacing w:val="0"/>
          <w:sz w:val="30"/>
          <w:szCs w:val="30"/>
        </w:rPr>
        <w:t>六、政府信息公开工作存在的主要问题及改进措施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pacing w:val="0"/>
          <w:sz w:val="30"/>
          <w:szCs w:val="30"/>
        </w:rPr>
        <w:t>我局政府信息公开的组织机构健全、制度体系完整、工作流程明确，整体运行情况较好。主要需要改进的地方：一是进一步规范信息公开模式；二是加大信息公开的范围；三是更加注重公开内容的时效性。</w:t>
      </w:r>
    </w:p>
    <w:p>
      <w:pPr>
        <w:ind w:firstLine="584" w:firstLineChars="200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七、其它事项</w:t>
      </w:r>
    </w:p>
    <w:p>
      <w:pPr>
        <w:ind w:firstLine="584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2017年度，我局政府信息公开工作未出现泄密、应急事件未及时处理、不符合《条例》《规定》要求的其它情况。</w:t>
      </w:r>
    </w:p>
    <w:p>
      <w:pPr>
        <w:ind w:firstLine="584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附件：2017年度鄞州区政府信息公开工作情况统计表</w:t>
      </w:r>
    </w:p>
    <w:p>
      <w:pPr>
        <w:adjustRightInd w:val="0"/>
        <w:snapToGrid w:val="0"/>
        <w:spacing w:line="360" w:lineRule="auto"/>
        <w:ind w:right="624" w:firstLine="584" w:firstLineChars="200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</w:t>
      </w:r>
    </w:p>
    <w:p>
      <w:pPr>
        <w:adjustRightInd w:val="0"/>
        <w:snapToGrid w:val="0"/>
        <w:spacing w:line="360" w:lineRule="auto"/>
        <w:ind w:right="624" w:firstLine="584" w:firstLineChars="200"/>
        <w:jc w:val="center"/>
        <w:rPr>
          <w:rFonts w:ascii="仿宋_GB2312" w:eastAsia="仿宋_GB2312"/>
          <w:sz w:val="30"/>
          <w:szCs w:val="30"/>
        </w:rPr>
      </w:pPr>
    </w:p>
    <w:p>
      <w:pPr>
        <w:adjustRightInd w:val="0"/>
        <w:snapToGrid w:val="0"/>
        <w:spacing w:line="360" w:lineRule="auto"/>
        <w:ind w:right="624" w:firstLine="584" w:firstLineChars="200"/>
        <w:jc w:val="left"/>
        <w:rPr>
          <w:rFonts w:ascii="仿宋_GB2312" w:eastAsia="仿宋_GB2312"/>
          <w:sz w:val="30"/>
          <w:szCs w:val="30"/>
        </w:rPr>
      </w:pPr>
    </w:p>
    <w:p>
      <w:pPr>
        <w:adjustRightInd w:val="0"/>
        <w:snapToGrid w:val="0"/>
        <w:spacing w:line="360" w:lineRule="auto"/>
        <w:ind w:right="624" w:firstLine="584" w:firstLineChars="200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 鄞州区司法局</w:t>
      </w:r>
    </w:p>
    <w:p>
      <w:pPr>
        <w:adjustRightInd w:val="0"/>
        <w:snapToGrid w:val="0"/>
        <w:spacing w:line="360" w:lineRule="auto"/>
        <w:ind w:right="624" w:firstLine="584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二○一七年三月十二日</w:t>
      </w:r>
    </w:p>
    <w:p>
      <w:pPr>
        <w:spacing w:line="560" w:lineRule="exact"/>
        <w:jc w:val="left"/>
        <w:rPr>
          <w:rFonts w:ascii="黑体" w:hAnsi="宋体" w:eastAsia="黑体" w:cs="方正黑体_GBK"/>
          <w:snapToGrid w:val="0"/>
          <w:color w:val="000000"/>
          <w:sz w:val="32"/>
          <w:szCs w:val="32"/>
        </w:rPr>
      </w:pPr>
    </w:p>
    <w:p>
      <w:pPr>
        <w:spacing w:line="560" w:lineRule="exact"/>
        <w:rPr>
          <w:rFonts w:ascii="黑体" w:hAnsi="宋体" w:eastAsia="黑体" w:cs="方正黑体_GBK"/>
          <w:snapToGrid w:val="0"/>
          <w:color w:val="000000"/>
          <w:sz w:val="32"/>
          <w:szCs w:val="32"/>
        </w:rPr>
      </w:pPr>
    </w:p>
    <w:p>
      <w:pPr>
        <w:spacing w:line="560" w:lineRule="exact"/>
        <w:rPr>
          <w:rFonts w:ascii="黑体" w:hAnsi="宋体" w:eastAsia="黑体" w:cs="方正黑体_GBK"/>
          <w:snapToGrid w:val="0"/>
          <w:color w:val="000000"/>
          <w:sz w:val="32"/>
          <w:szCs w:val="32"/>
        </w:rPr>
      </w:pPr>
    </w:p>
    <w:p>
      <w:pPr>
        <w:spacing w:line="560" w:lineRule="exact"/>
        <w:rPr>
          <w:rFonts w:ascii="黑体" w:hAnsi="宋体" w:eastAsia="黑体" w:cs="方正黑体_GBK"/>
          <w:snapToGrid w:val="0"/>
          <w:color w:val="000000"/>
          <w:sz w:val="32"/>
          <w:szCs w:val="32"/>
        </w:rPr>
      </w:pPr>
    </w:p>
    <w:p>
      <w:pPr>
        <w:spacing w:line="560" w:lineRule="exact"/>
        <w:rPr>
          <w:rFonts w:ascii="黑体" w:hAnsi="宋体" w:eastAsia="黑体" w:cs="方正黑体_GBK"/>
          <w:snapToGrid w:val="0"/>
          <w:color w:val="000000"/>
          <w:sz w:val="32"/>
          <w:szCs w:val="32"/>
        </w:rPr>
      </w:pPr>
    </w:p>
    <w:p>
      <w:pPr>
        <w:spacing w:line="560" w:lineRule="exact"/>
        <w:rPr>
          <w:rFonts w:ascii="黑体" w:hAnsi="宋体" w:eastAsia="黑体" w:cs="方正黑体_GBK"/>
          <w:snapToGrid w:val="0"/>
          <w:color w:val="000000"/>
          <w:sz w:val="32"/>
          <w:szCs w:val="32"/>
        </w:rPr>
      </w:pPr>
    </w:p>
    <w:p>
      <w:pPr>
        <w:spacing w:line="560" w:lineRule="exact"/>
        <w:rPr>
          <w:rFonts w:ascii="黑体" w:hAnsi="宋体" w:eastAsia="黑体" w:cs="方正黑体_GBK"/>
          <w:snapToGrid w:val="0"/>
          <w:color w:val="000000"/>
          <w:sz w:val="32"/>
          <w:szCs w:val="32"/>
        </w:rPr>
      </w:pPr>
    </w:p>
    <w:p>
      <w:pPr>
        <w:spacing w:line="560" w:lineRule="exact"/>
        <w:rPr>
          <w:rFonts w:ascii="黑体" w:hAnsi="宋体" w:eastAsia="黑体" w:cs="方正黑体_GBK"/>
          <w:snapToGrid w:val="0"/>
          <w:color w:val="000000"/>
          <w:sz w:val="32"/>
          <w:szCs w:val="32"/>
        </w:rPr>
      </w:pPr>
    </w:p>
    <w:p>
      <w:pPr>
        <w:spacing w:line="560" w:lineRule="exact"/>
        <w:rPr>
          <w:rFonts w:ascii="黑体" w:hAnsi="宋体" w:eastAsia="黑体" w:cs="方正黑体_GBK"/>
          <w:snapToGrid w:val="0"/>
          <w:color w:val="000000"/>
          <w:sz w:val="32"/>
          <w:szCs w:val="32"/>
        </w:rPr>
      </w:pPr>
    </w:p>
    <w:p>
      <w:pPr>
        <w:spacing w:line="560" w:lineRule="exact"/>
        <w:rPr>
          <w:rFonts w:ascii="黑体" w:hAnsi="宋体" w:eastAsia="黑体" w:cs="方正黑体_GBK"/>
          <w:snapToGrid w:val="0"/>
          <w:color w:val="000000"/>
          <w:sz w:val="32"/>
          <w:szCs w:val="32"/>
        </w:rPr>
      </w:pPr>
    </w:p>
    <w:p>
      <w:pPr>
        <w:spacing w:line="560" w:lineRule="exact"/>
        <w:rPr>
          <w:rFonts w:ascii="黑体" w:hAnsi="宋体" w:eastAsia="黑体" w:cs="方正黑体_GBK"/>
          <w:snapToGrid w:val="0"/>
          <w:color w:val="000000"/>
          <w:sz w:val="32"/>
          <w:szCs w:val="32"/>
        </w:rPr>
      </w:pPr>
    </w:p>
    <w:p>
      <w:pPr>
        <w:spacing w:line="560" w:lineRule="exact"/>
        <w:rPr>
          <w:rFonts w:ascii="黑体" w:hAnsi="宋体" w:eastAsia="黑体" w:cs="方正黑体_GBK"/>
          <w:snapToGrid w:val="0"/>
          <w:color w:val="000000"/>
          <w:sz w:val="32"/>
          <w:szCs w:val="32"/>
        </w:rPr>
      </w:pPr>
    </w:p>
    <w:p>
      <w:pPr>
        <w:spacing w:line="560" w:lineRule="exact"/>
        <w:rPr>
          <w:rFonts w:ascii="黑体" w:hAnsi="宋体" w:eastAsia="黑体" w:cs="方正黑体_GBK"/>
          <w:snapToGrid w:val="0"/>
          <w:color w:val="000000"/>
          <w:sz w:val="32"/>
          <w:szCs w:val="32"/>
        </w:rPr>
      </w:pPr>
    </w:p>
    <w:p>
      <w:pPr>
        <w:spacing w:line="560" w:lineRule="exact"/>
        <w:rPr>
          <w:rFonts w:ascii="黑体" w:hAnsi="宋体" w:eastAsia="黑体" w:cs="方正黑体_GBK"/>
          <w:snapToGrid w:val="0"/>
          <w:color w:val="000000"/>
          <w:sz w:val="32"/>
          <w:szCs w:val="32"/>
        </w:rPr>
      </w:pPr>
    </w:p>
    <w:p>
      <w:pPr>
        <w:spacing w:line="560" w:lineRule="exact"/>
        <w:rPr>
          <w:rFonts w:ascii="黑体" w:hAnsi="宋体" w:eastAsia="黑体" w:cs="方正黑体_GBK"/>
          <w:snapToGrid w:val="0"/>
          <w:color w:val="000000"/>
          <w:sz w:val="32"/>
          <w:szCs w:val="32"/>
        </w:rPr>
      </w:pPr>
    </w:p>
    <w:p>
      <w:pPr>
        <w:widowControl/>
        <w:spacing w:line="432" w:lineRule="atLeast"/>
        <w:jc w:val="left"/>
        <w:rPr>
          <w:rFonts w:hint="eastAsia" w:ascii="方正小标宋简体" w:hAnsi="宋体" w:eastAsia="方正小标宋简体" w:cs="方正小标宋简体"/>
          <w:snapToGrid w:val="0"/>
          <w:color w:val="000000"/>
          <w:sz w:val="44"/>
          <w:szCs w:val="44"/>
        </w:rPr>
      </w:pPr>
      <w:r>
        <w:rPr>
          <w:rFonts w:hint="eastAsia" w:ascii="仿宋_GB2312" w:eastAsia="仿宋_GB2312"/>
          <w:sz w:val="30"/>
          <w:szCs w:val="30"/>
        </w:rPr>
        <w:t>附件：</w:t>
      </w:r>
    </w:p>
    <w:p>
      <w:pPr>
        <w:widowControl/>
        <w:spacing w:line="432" w:lineRule="atLeast"/>
        <w:jc w:val="center"/>
        <w:rPr>
          <w:rFonts w:ascii="方正小标宋简体" w:hAnsi="宋体" w:eastAsia="方正小标宋简体"/>
          <w:snapToGrid w:val="0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snapToGrid w:val="0"/>
          <w:color w:val="000000"/>
          <w:sz w:val="44"/>
          <w:szCs w:val="44"/>
        </w:rPr>
        <w:t>政府信息公开情况统计表</w:t>
      </w:r>
    </w:p>
    <w:p>
      <w:pPr>
        <w:widowControl/>
        <w:spacing w:line="432" w:lineRule="atLeast"/>
        <w:jc w:val="center"/>
        <w:rPr>
          <w:rFonts w:ascii="仿宋_GB2312" w:hAnsi="宋体" w:eastAsia="仿宋_GB2312" w:cs="宋体"/>
          <w:snapToGrid w:val="0"/>
          <w:color w:val="000000"/>
          <w:sz w:val="28"/>
          <w:szCs w:val="28"/>
        </w:rPr>
      </w:pPr>
      <w:r>
        <w:rPr>
          <w:rFonts w:hint="eastAsia" w:ascii="仿宋_GB2312" w:hAnsi="宋体" w:eastAsia="仿宋_GB2312" w:cs="宋体"/>
          <w:snapToGrid w:val="0"/>
          <w:color w:val="000000"/>
          <w:sz w:val="28"/>
          <w:szCs w:val="28"/>
        </w:rPr>
        <w:t>（　2017　</w:t>
      </w:r>
      <w:r>
        <w:rPr>
          <w:rFonts w:hint="eastAsia" w:ascii="仿宋_GB2312" w:hAnsi="宋体" w:eastAsia="仿宋_GB2312" w:cs="方正楷体_GBK"/>
          <w:snapToGrid w:val="0"/>
          <w:color w:val="000000"/>
          <w:sz w:val="28"/>
          <w:szCs w:val="28"/>
        </w:rPr>
        <w:t>年度</w:t>
      </w:r>
      <w:r>
        <w:rPr>
          <w:rFonts w:hint="eastAsia" w:ascii="仿宋_GB2312" w:hAnsi="宋体" w:eastAsia="仿宋_GB2312" w:cs="宋体"/>
          <w:snapToGrid w:val="0"/>
          <w:color w:val="000000"/>
          <w:sz w:val="28"/>
          <w:szCs w:val="28"/>
        </w:rPr>
        <w:t>）</w:t>
      </w:r>
    </w:p>
    <w:p>
      <w:pPr>
        <w:widowControl/>
        <w:spacing w:line="432" w:lineRule="atLeast"/>
        <w:jc w:val="left"/>
        <w:rPr>
          <w:rFonts w:ascii="仿宋_GB2312" w:hAnsi="宋体" w:eastAsia="仿宋_GB2312"/>
          <w:snapToGrid w:val="0"/>
          <w:color w:val="000000"/>
        </w:rPr>
      </w:pPr>
      <w:r>
        <w:rPr>
          <w:rFonts w:hint="eastAsia" w:ascii="仿宋_GB2312" w:hAnsi="宋体" w:eastAsia="仿宋_GB2312" w:cs="方正仿宋_GBK"/>
          <w:snapToGrid w:val="0"/>
          <w:color w:val="000000"/>
        </w:rPr>
        <w:t>填报单位（盖章）：鄞州区司法局</w:t>
      </w:r>
    </w:p>
    <w:tbl>
      <w:tblPr>
        <w:tblStyle w:val="6"/>
        <w:tblW w:w="8884" w:type="dxa"/>
        <w:tblInd w:w="8" w:type="dxa"/>
        <w:tblBorders>
          <w:top w:val="single" w:color="0A0A0A" w:sz="6" w:space="0"/>
          <w:left w:val="single" w:color="0A0A0A" w:sz="6" w:space="0"/>
          <w:bottom w:val="single" w:color="0A0A0A" w:sz="6" w:space="0"/>
          <w:right w:val="single" w:color="0A0A0A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58"/>
        <w:gridCol w:w="806"/>
        <w:gridCol w:w="1620"/>
      </w:tblGrid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napToGrid w:val="0"/>
              </w:rPr>
              <w:t>统　计　指　标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napToGrid w:val="0"/>
              </w:rPr>
              <w:t>单位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napToGrid w:val="0"/>
              </w:rPr>
              <w:t>统计数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</w:rPr>
              <w:t>一、主动公开情况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ascii="仿宋_GB2312" w:hAnsi="宋体" w:eastAsia="仿宋_GB2312" w:cs="宋体"/>
                <w:snapToGrid w:val="0"/>
              </w:rPr>
              <w:t>——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（一）主动公开政府信息数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（不同渠道和方式公开相同信息计</w:t>
            </w:r>
            <w:r>
              <w:rPr>
                <w:rFonts w:ascii="仿宋_GB2312" w:hAnsi="宋体" w:eastAsia="仿宋_GB2312" w:cs="方正仿宋_GBK"/>
                <w:snapToGrid w:val="0"/>
              </w:rPr>
              <w:t>1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条）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246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　其中：主动公开规范性文件数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3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　　　　制发规范性文件总数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3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（二）通过不同渠道和方式公开政府信息的情况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ascii="仿宋_GB2312" w:hAnsi="宋体" w:eastAsia="仿宋_GB2312" w:cs="方正仿宋_GBK"/>
                <w:snapToGrid w:val="0"/>
              </w:rPr>
              <w:t>——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1.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政府公报公开政府信息数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2.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政府网站公开政府信息数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246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3.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政务微博公开政府信息数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4.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政务微信公开政府信息数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228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5.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其他方式公开政府信息数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</w:rPr>
              <w:t>二、回应解读情况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ascii="仿宋_GB2312" w:hAnsi="宋体" w:eastAsia="仿宋_GB2312" w:cs="宋体"/>
                <w:snapToGrid w:val="0"/>
              </w:rPr>
              <w:t>——</w:t>
            </w:r>
          </w:p>
        </w:tc>
        <w:tc>
          <w:tcPr>
            <w:tcW w:w="1620" w:type="dxa"/>
            <w:tcBorders>
              <w:right w:val="single" w:color="0A0A0A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（一）回应公众关注热点或重大舆情数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（不同方式回应同一热点或舆情计</w:t>
            </w:r>
            <w:r>
              <w:rPr>
                <w:rFonts w:ascii="仿宋_GB2312" w:hAnsi="宋体" w:eastAsia="仿宋_GB2312" w:cs="方正仿宋_GBK"/>
                <w:snapToGrid w:val="0"/>
              </w:rPr>
              <w:t>1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次）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（二）通过不同渠道和方式回应解读的情况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ascii="仿宋_GB2312" w:hAnsi="宋体" w:eastAsia="仿宋_GB2312" w:cs="方正仿宋_GBK"/>
                <w:snapToGrid w:val="0"/>
              </w:rPr>
              <w:t>——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1.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参加或举办新闻发布会总次数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　其中：主要负责同志参加新闻发布会次数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2.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政府网站在线访谈次数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　其中：主要负责同志参加政府网站在线访谈次数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3.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政策解读稿件发布数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篇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4.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微博微信回应事件数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5.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其他方式回应事件数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10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</w:rPr>
              <w:t>三、依申请公开情况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ascii="仿宋_GB2312" w:hAnsi="宋体" w:eastAsia="仿宋_GB2312" w:cs="宋体"/>
                <w:snapToGrid w:val="0"/>
              </w:rPr>
              <w:t>——</w:t>
            </w:r>
          </w:p>
        </w:tc>
        <w:tc>
          <w:tcPr>
            <w:tcW w:w="1620" w:type="dxa"/>
            <w:tcBorders>
              <w:right w:val="single" w:color="0A0A0A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（一）收到申请数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1.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当面申请数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2.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传真申请数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3.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网络申请数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4.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信函申请数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（二）申请办结数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1.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按时办结数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2.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延期办结数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（三）申请答复数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1.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属于已主动公开范围数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2.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同意公开答复数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3.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同意部分公开答复数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4.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不同意公开答复数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　其中：涉及国家秘密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　　　　涉及商业秘密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　　　　涉及个人隐私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　　　　危及国家安全、公共安全、经济安全和社会稳定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　　　　不是《条例》所指政府信息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　　　　法律法规规定的其他情形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5.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不属于本行政机关公开数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6.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申请信息不存在数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7.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告知作出更改补充数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8.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告知通过其他途径办理数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</w:rPr>
              <w:t>四、行政复议数量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宋体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（一）维持具体行政行为数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（二）被依法纠错数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（三）其他情形数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</w:rPr>
              <w:t>五、行政诉讼数量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宋体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（一）维持具体行政行为或者驳回原告诉讼请求数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（二）被依法纠错数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（三）其他情形数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</w:rPr>
              <w:t>六、举报投诉数量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宋体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</w:rPr>
              <w:t>七、依申请公开信息收取的费用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宋体"/>
                <w:snapToGrid w:val="0"/>
              </w:rPr>
              <w:t>万元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</w:rPr>
              <w:t>八、机构建设和保障经费情况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ascii="仿宋_GB2312" w:hAnsi="宋体" w:eastAsia="仿宋_GB2312" w:cs="宋体"/>
                <w:snapToGrid w:val="0"/>
              </w:rPr>
              <w:t>——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（一）政府信息公开工作专门机构数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个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eastAsia="仿宋_GB2312"/>
                <w:snapToGrid w:val="0"/>
              </w:rPr>
              <w:t>1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（二）设置政府信息公开查阅点数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个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eastAsia="仿宋_GB2312"/>
                <w:snapToGrid w:val="0"/>
              </w:rPr>
              <w:t>2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（三）从事政府信息公开工作人员数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人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eastAsia="仿宋_GB2312"/>
                <w:snapToGrid w:val="0"/>
              </w:rPr>
              <w:t>3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1.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专职人员数（不包括政府公报及政府网站工作人员数）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人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eastAsia="仿宋_GB2312"/>
                <w:snapToGrid w:val="0"/>
              </w:rPr>
              <w:t>2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2.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兼职人员数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人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eastAsia="仿宋_GB2312"/>
                <w:snapToGrid w:val="0"/>
              </w:rPr>
              <w:t>1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ind w:firstLine="390"/>
              <w:jc w:val="left"/>
              <w:rPr>
                <w:rFonts w:ascii="仿宋_GB2312" w:hAnsi="宋体" w:eastAsia="仿宋_GB2312" w:cs="方正仿宋_GBK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（四）政府信息公开专项经费（不包括用于政府公报编辑管理及</w:t>
            </w:r>
          </w:p>
          <w:p>
            <w:pPr>
              <w:widowControl/>
              <w:adjustRightInd w:val="0"/>
              <w:snapToGrid w:val="0"/>
              <w:spacing w:line="300" w:lineRule="exact"/>
              <w:ind w:firstLine="995" w:firstLineChars="493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政府网站建设维护等方面的经费）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万元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eastAsia="仿宋_GB2312"/>
                <w:snapToGrid w:val="0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</w:rPr>
              <w:t>九、政府信息公开会议和培训情况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ascii="仿宋_GB2312" w:hAnsi="宋体" w:eastAsia="仿宋_GB2312" w:cs="宋体"/>
                <w:snapToGrid w:val="0"/>
              </w:rPr>
              <w:t>——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（一）召开政府信息公开工作会议或专题会议数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eastAsia="仿宋_GB2312"/>
                <w:snapToGrid w:val="0"/>
              </w:rPr>
              <w:t>1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（二）举办各类培训班数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eastAsia="仿宋_GB2312"/>
                <w:snapToGrid w:val="0"/>
              </w:rPr>
              <w:t>1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（三）接受培训人员数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人次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eastAsia="仿宋_GB2312"/>
                <w:snapToGrid w:val="0"/>
              </w:rPr>
              <w:t>50</w:t>
            </w:r>
          </w:p>
        </w:tc>
      </w:tr>
    </w:tbl>
    <w:p>
      <w:pPr>
        <w:widowControl/>
        <w:spacing w:line="432" w:lineRule="atLeast"/>
        <w:jc w:val="left"/>
        <w:rPr>
          <w:rFonts w:ascii="仿宋_GB2312" w:hAnsi="宋体" w:eastAsia="仿宋_GB2312" w:cs="方正仿宋_GBK"/>
          <w:color w:val="000000"/>
          <w:kern w:val="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g0MTdhOWUwZDc4NjI1NThjZTA3ODZlNDU3NmZlZDQifQ=="/>
  </w:docVars>
  <w:rsids>
    <w:rsidRoot w:val="00717D7E"/>
    <w:rsid w:val="00034F42"/>
    <w:rsid w:val="000816DF"/>
    <w:rsid w:val="000D457D"/>
    <w:rsid w:val="000F1146"/>
    <w:rsid w:val="001D22A1"/>
    <w:rsid w:val="002E65A1"/>
    <w:rsid w:val="00392D8D"/>
    <w:rsid w:val="003B5512"/>
    <w:rsid w:val="00513880"/>
    <w:rsid w:val="00516A2A"/>
    <w:rsid w:val="00704AA1"/>
    <w:rsid w:val="00717D7E"/>
    <w:rsid w:val="00795B6F"/>
    <w:rsid w:val="00964CE8"/>
    <w:rsid w:val="009A2376"/>
    <w:rsid w:val="00A25699"/>
    <w:rsid w:val="00A63062"/>
    <w:rsid w:val="00B4728C"/>
    <w:rsid w:val="00BA1F6B"/>
    <w:rsid w:val="00BD3F2C"/>
    <w:rsid w:val="00CB7BCD"/>
    <w:rsid w:val="00D05A48"/>
    <w:rsid w:val="00DB784A"/>
    <w:rsid w:val="00EB76A4"/>
    <w:rsid w:val="00F13F4A"/>
    <w:rsid w:val="00FA0997"/>
    <w:rsid w:val="00FF00A6"/>
    <w:rsid w:val="164A1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pacing w:val="-4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 w:line="360" w:lineRule="atLeast"/>
      <w:jc w:val="left"/>
    </w:pPr>
    <w:rPr>
      <w:rFonts w:ascii="宋体" w:hAnsi="宋体"/>
      <w:spacing w:val="0"/>
      <w:kern w:val="0"/>
      <w:sz w:val="24"/>
      <w:szCs w:val="20"/>
    </w:rPr>
  </w:style>
  <w:style w:type="character" w:customStyle="1" w:styleId="8">
    <w:name w:val="页眉 Char"/>
    <w:basedOn w:val="7"/>
    <w:link w:val="4"/>
    <w:semiHidden/>
    <w:uiPriority w:val="99"/>
    <w:rPr>
      <w:rFonts w:ascii="Times New Roman" w:hAnsi="Times New Roman" w:eastAsia="宋体" w:cs="Times New Roman"/>
      <w:spacing w:val="-4"/>
      <w:sz w:val="18"/>
      <w:szCs w:val="18"/>
    </w:rPr>
  </w:style>
  <w:style w:type="character" w:customStyle="1" w:styleId="9">
    <w:name w:val="页脚 Char"/>
    <w:basedOn w:val="7"/>
    <w:link w:val="3"/>
    <w:semiHidden/>
    <w:uiPriority w:val="99"/>
    <w:rPr>
      <w:rFonts w:ascii="Times New Roman" w:hAnsi="Times New Roman" w:eastAsia="宋体" w:cs="Times New Roman"/>
      <w:spacing w:val="-4"/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rFonts w:ascii="Times New Roman" w:hAnsi="Times New Roman" w:eastAsia="宋体" w:cs="Times New Roman"/>
      <w:spacing w:val="-4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7</Pages>
  <Words>556</Words>
  <Characters>3174</Characters>
  <Lines>26</Lines>
  <Paragraphs>7</Paragraphs>
  <TotalTime>17</TotalTime>
  <ScaleCrop>false</ScaleCrop>
  <LinksUpToDate>false</LinksUpToDate>
  <CharactersWithSpaces>3723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2018-03-12T01:19:00Z</dcterms:created>
  <dc:creator>User</dc:creator>
  <cp:lastModifiedBy>至今</cp:lastModifiedBy>
  <cp:lastPrinted>2017-12-20T06:03:00Z</cp:lastPrinted>
  <dcterms:modified xsi:type="dcterms:W3CDTF">2024-04-30T00:59:27Z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33A4AE1034984F888F1BDC74FCEC8534_12</vt:lpwstr>
  </property>
</Properties>
</file>