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napToGrid w:val="0"/>
        <w:jc w:val="center"/>
        <w:rPr>
          <w:rFonts w:hint="eastAsia" w:ascii="方正小标宋_GBK" w:hAnsi="方正小标宋_GBK" w:eastAsia="方正小标宋_GBK" w:cs="方正小标宋_GBK"/>
          <w:b w:val="0"/>
          <w:bCs/>
          <w:color w:val="auto"/>
          <w:kern w:val="2"/>
          <w:sz w:val="44"/>
          <w:szCs w:val="44"/>
        </w:rPr>
      </w:pPr>
      <w:bookmarkStart w:id="0" w:name="_Hlk28640736"/>
      <w:r>
        <w:rPr>
          <w:rFonts w:hint="eastAsia" w:ascii="方正小标宋_GBK" w:hAnsi="方正小标宋_GBK" w:eastAsia="方正小标宋_GBK" w:cs="方正小标宋_GBK"/>
          <w:b w:val="0"/>
          <w:bCs/>
          <w:color w:val="auto"/>
          <w:kern w:val="2"/>
          <w:sz w:val="44"/>
          <w:szCs w:val="44"/>
        </w:rPr>
        <w:t>宁波</w:t>
      </w:r>
      <w:bookmarkStart w:id="1" w:name="_Hlk28640626"/>
      <w:r>
        <w:rPr>
          <w:rFonts w:hint="eastAsia" w:ascii="方正小标宋_GBK" w:hAnsi="方正小标宋_GBK" w:eastAsia="方正小标宋_GBK" w:cs="方正小标宋_GBK"/>
          <w:b w:val="0"/>
          <w:bCs/>
          <w:color w:val="auto"/>
          <w:kern w:val="2"/>
          <w:sz w:val="44"/>
          <w:szCs w:val="44"/>
        </w:rPr>
        <w:t>南部商务区管委会</w:t>
      </w:r>
      <w:bookmarkEnd w:id="0"/>
      <w:bookmarkEnd w:id="1"/>
      <w:r>
        <w:rPr>
          <w:rFonts w:hint="eastAsia" w:ascii="方正小标宋_GBK" w:hAnsi="方正小标宋_GBK" w:eastAsia="方正小标宋_GBK" w:cs="方正小标宋_GBK"/>
          <w:b w:val="0"/>
          <w:bCs/>
          <w:color w:val="auto"/>
          <w:kern w:val="2"/>
          <w:sz w:val="44"/>
          <w:szCs w:val="44"/>
        </w:rPr>
        <w:t>2019年度政府信息公开年度报告</w:t>
      </w:r>
    </w:p>
    <w:p>
      <w:pPr>
        <w:pStyle w:val="4"/>
        <w:snapToGrid w:val="0"/>
        <w:jc w:val="both"/>
        <w:rPr>
          <w:rFonts w:hint="eastAsia" w:ascii="方正小标宋简体" w:hAnsi="Verdana" w:eastAsia="方正小标宋简体"/>
          <w:b/>
          <w:color w:val="auto"/>
          <w:kern w:val="2"/>
          <w:sz w:val="36"/>
          <w:szCs w:val="36"/>
        </w:rPr>
      </w:pPr>
    </w:p>
    <w:p>
      <w:pPr>
        <w:ind w:firstLine="640" w:firstLineChars="200"/>
        <w:jc w:val="both"/>
        <w:rPr>
          <w:rFonts w:hint="eastAsia" w:ascii="Times New Roman" w:hAnsi="Times New Roman" w:eastAsia="仿宋_GB2312"/>
          <w:snapToGrid w:val="0"/>
          <w:color w:val="auto"/>
          <w:kern w:val="0"/>
          <w:sz w:val="32"/>
          <w:szCs w:val="32"/>
        </w:rPr>
      </w:pPr>
      <w:r>
        <w:rPr>
          <w:rFonts w:hint="eastAsia" w:ascii="Times New Roman" w:hAnsi="Times New Roman" w:eastAsia="仿宋_GB2312"/>
          <w:snapToGrid w:val="0"/>
          <w:color w:val="auto"/>
          <w:kern w:val="0"/>
          <w:sz w:val="32"/>
          <w:szCs w:val="32"/>
        </w:rPr>
        <w:t>本年度报告根据《中华人民共和国政府信息公开条例》（以下简称《条例》），按照《国务院办公厅政府信息与政务公开办公室关于政府信息公开工作年度报告有关事项的通知》（国办公开办函〔2019</w:t>
      </w:r>
      <w:bookmarkStart w:id="4" w:name="_GoBack"/>
      <w:bookmarkEnd w:id="4"/>
      <w:r>
        <w:rPr>
          <w:rFonts w:hint="eastAsia" w:ascii="Times New Roman" w:hAnsi="Times New Roman" w:eastAsia="仿宋_GB2312"/>
          <w:snapToGrid w:val="0"/>
          <w:color w:val="auto"/>
          <w:kern w:val="0"/>
          <w:sz w:val="32"/>
          <w:szCs w:val="32"/>
        </w:rPr>
        <w:t>〕60号）要求和《宁波市鄞州区人民政府办公室关于印发2019年宁波市鄞州区政务公开工作要点的通知》（鄞政办发〔2019〕55号）文件精神，结合2019年宁波市南部商务区管委会政府信息公开工作编制而成。</w:t>
      </w:r>
      <w:r>
        <w:rPr>
          <w:rFonts w:hint="eastAsia" w:ascii="Times New Roman" w:hAnsi="Times New Roman" w:eastAsia="仿宋_GB2312"/>
          <w:b/>
          <w:bCs/>
          <w:snapToGrid w:val="0"/>
          <w:color w:val="auto"/>
          <w:kern w:val="0"/>
          <w:sz w:val="32"/>
          <w:szCs w:val="32"/>
        </w:rPr>
        <w:t>本年报由</w:t>
      </w:r>
      <w:r>
        <w:rPr>
          <w:rFonts w:hint="eastAsia" w:ascii="Times New Roman" w:hAnsi="Times New Roman" w:eastAsia="仿宋_GB2312"/>
          <w:b/>
          <w:bCs/>
          <w:snapToGrid w:val="0"/>
          <w:color w:val="auto"/>
          <w:kern w:val="0"/>
          <w:sz w:val="32"/>
          <w:szCs w:val="32"/>
          <w:lang w:eastAsia="zh-CN"/>
        </w:rPr>
        <w:t>概述</w:t>
      </w:r>
      <w:r>
        <w:rPr>
          <w:rFonts w:hint="eastAsia" w:ascii="Times New Roman" w:hAnsi="Times New Roman" w:eastAsia="仿宋_GB2312"/>
          <w:b/>
          <w:bCs/>
          <w:snapToGrid w:val="0"/>
          <w:color w:val="auto"/>
          <w:kern w:val="0"/>
          <w:sz w:val="32"/>
          <w:szCs w:val="32"/>
        </w:rPr>
        <w:t>、主动公开政府信息情况、收到和处理政府信息公开申请情况、政府信息公开收费及减免情况、政府信息公开行政复议、行政诉讼情况、存在的主要问题及改进情况、其他需要报告的事项等七部分内容组成。</w:t>
      </w:r>
      <w:r>
        <w:rPr>
          <w:rFonts w:hint="eastAsia" w:ascii="Times New Roman" w:hAnsi="Times New Roman" w:eastAsia="仿宋_GB2312"/>
          <w:snapToGrid w:val="0"/>
          <w:color w:val="auto"/>
          <w:kern w:val="0"/>
          <w:sz w:val="32"/>
          <w:szCs w:val="32"/>
        </w:rPr>
        <w:t>本年度报告中所列数据的统计期限从2019年1月1日到12月31日止。如对本年度报告有任何疑问，请与宁波市宁波南部商务区管委会办公室联系。联系电话：</w:t>
      </w:r>
      <w:r>
        <w:rPr>
          <w:rFonts w:hint="eastAsia" w:ascii="Times New Roman" w:hAnsi="Times New Roman" w:eastAsia="仿宋_GB2312"/>
          <w:snapToGrid w:val="0"/>
          <w:color w:val="auto"/>
          <w:kern w:val="0"/>
          <w:sz w:val="32"/>
          <w:szCs w:val="32"/>
          <w:lang w:val="en-US" w:eastAsia="zh-CN"/>
        </w:rPr>
        <w:t>0</w:t>
      </w:r>
      <w:r>
        <w:rPr>
          <w:rFonts w:hint="eastAsia" w:ascii="Times New Roman" w:hAnsi="Times New Roman" w:eastAsia="仿宋_GB2312"/>
          <w:snapToGrid w:val="0"/>
          <w:color w:val="auto"/>
          <w:kern w:val="0"/>
          <w:sz w:val="32"/>
          <w:szCs w:val="32"/>
        </w:rPr>
        <w:t>574-89296462；传真：0574-8929</w:t>
      </w:r>
      <w:r>
        <w:rPr>
          <w:rFonts w:hint="eastAsia" w:ascii="Times New Roman" w:hAnsi="Times New Roman" w:eastAsia="仿宋_GB2312"/>
          <w:snapToGrid w:val="0"/>
          <w:color w:val="auto"/>
          <w:kern w:val="0"/>
          <w:sz w:val="32"/>
          <w:szCs w:val="32"/>
          <w:lang w:val="en-US" w:eastAsia="zh-CN"/>
        </w:rPr>
        <w:t>6488</w:t>
      </w:r>
      <w:r>
        <w:rPr>
          <w:rFonts w:hint="eastAsia" w:ascii="Times New Roman" w:hAnsi="Times New Roman" w:eastAsia="仿宋_GB2312"/>
          <w:snapToGrid w:val="0"/>
          <w:color w:val="auto"/>
          <w:kern w:val="0"/>
          <w:sz w:val="32"/>
          <w:szCs w:val="32"/>
        </w:rPr>
        <w:t>；通信地址：</w:t>
      </w:r>
      <w:r>
        <w:rPr>
          <w:rFonts w:hint="eastAsia" w:ascii="Times New Roman" w:hAnsi="Times New Roman" w:eastAsia="仿宋_GB2312"/>
          <w:snapToGrid w:val="0"/>
          <w:color w:val="auto"/>
          <w:kern w:val="0"/>
          <w:sz w:val="32"/>
          <w:szCs w:val="32"/>
          <w:lang w:eastAsia="zh-CN"/>
        </w:rPr>
        <w:t>宁波市鄞州区日丽中路</w:t>
      </w:r>
      <w:r>
        <w:rPr>
          <w:rFonts w:hint="eastAsia" w:ascii="Times New Roman" w:hAnsi="Times New Roman" w:eastAsia="仿宋_GB2312"/>
          <w:snapToGrid w:val="0"/>
          <w:color w:val="auto"/>
          <w:kern w:val="0"/>
          <w:sz w:val="32"/>
          <w:szCs w:val="32"/>
          <w:lang w:val="en-US" w:eastAsia="zh-CN"/>
        </w:rPr>
        <w:t>789号</w:t>
      </w:r>
      <w:r>
        <w:rPr>
          <w:rFonts w:hint="eastAsia" w:ascii="Times New Roman" w:hAnsi="Times New Roman" w:eastAsia="仿宋_GB2312"/>
          <w:snapToGrid w:val="0"/>
          <w:color w:val="auto"/>
          <w:kern w:val="0"/>
          <w:sz w:val="32"/>
          <w:szCs w:val="32"/>
        </w:rPr>
        <w:t>；邮编：</w:t>
      </w:r>
      <w:r>
        <w:rPr>
          <w:rFonts w:hint="eastAsia" w:ascii="Times New Roman" w:hAnsi="Times New Roman" w:eastAsia="仿宋_GB2312"/>
          <w:snapToGrid w:val="0"/>
          <w:color w:val="auto"/>
          <w:kern w:val="0"/>
          <w:sz w:val="32"/>
          <w:szCs w:val="32"/>
          <w:lang w:val="en-US" w:eastAsia="zh-CN"/>
        </w:rPr>
        <w:t>315194</w:t>
      </w:r>
      <w:r>
        <w:rPr>
          <w:rFonts w:hint="eastAsia" w:ascii="Times New Roman" w:hAnsi="Times New Roman" w:eastAsia="仿宋_GB2312"/>
          <w:snapToGrid w:val="0"/>
          <w:color w:val="auto"/>
          <w:kern w:val="0"/>
          <w:sz w:val="32"/>
          <w:szCs w:val="32"/>
        </w:rPr>
        <w:t>。</w:t>
      </w:r>
    </w:p>
    <w:p>
      <w:pPr>
        <w:ind w:firstLine="480" w:firstLineChars="200"/>
        <w:jc w:val="both"/>
        <w:rPr>
          <w:rFonts w:hint="eastAsia" w:ascii="Times New Roman" w:hAnsi="Times New Roman" w:eastAsia="仿宋_GB2312"/>
          <w:snapToGrid w:val="0"/>
          <w:color w:val="auto"/>
          <w:kern w:val="0"/>
          <w:sz w:val="24"/>
        </w:rPr>
      </w:pPr>
    </w:p>
    <w:p>
      <w:pPr>
        <w:numPr>
          <w:ilvl w:val="0"/>
          <w:numId w:val="1"/>
        </w:numPr>
        <w:snapToGrid w:val="0"/>
        <w:spacing w:line="324" w:lineRule="auto"/>
        <w:ind w:firstLine="640" w:firstLineChars="200"/>
        <w:jc w:val="both"/>
        <w:rPr>
          <w:rFonts w:hint="eastAsia" w:ascii="黑体" w:hAnsi="Calibri" w:eastAsia="黑体" w:cs="黑体"/>
          <w:color w:val="auto"/>
          <w:sz w:val="32"/>
          <w:szCs w:val="32"/>
        </w:rPr>
      </w:pPr>
      <w:r>
        <w:rPr>
          <w:rFonts w:hint="eastAsia" w:ascii="黑体" w:eastAsia="黑体" w:cs="黑体"/>
          <w:color w:val="auto"/>
          <w:sz w:val="32"/>
          <w:szCs w:val="32"/>
          <w:lang w:eastAsia="zh-CN"/>
        </w:rPr>
        <w:t>概述</w:t>
      </w:r>
    </w:p>
    <w:p>
      <w:pPr>
        <w:ind w:firstLine="640" w:firstLineChars="200"/>
        <w:jc w:val="both"/>
        <w:rPr>
          <w:rFonts w:hint="eastAsia" w:ascii="Times New Roman" w:hAnsi="Times New Roman" w:eastAsia="仿宋_GB2312"/>
          <w:snapToGrid w:val="0"/>
          <w:color w:val="auto"/>
          <w:kern w:val="0"/>
          <w:sz w:val="32"/>
          <w:szCs w:val="32"/>
          <w:lang w:val="en-US" w:eastAsia="zh-CN"/>
        </w:rPr>
      </w:pPr>
      <w:r>
        <w:rPr>
          <w:rFonts w:hint="eastAsia" w:ascii="Times New Roman" w:hAnsi="Times New Roman" w:eastAsia="仿宋_GB2312"/>
          <w:snapToGrid w:val="0"/>
          <w:color w:val="auto"/>
          <w:kern w:val="0"/>
          <w:sz w:val="32"/>
          <w:szCs w:val="32"/>
          <w:lang w:val="en-US" w:eastAsia="zh-CN"/>
        </w:rPr>
        <w:t>2019年，宁波南部商务区管委会认真贯彻落实《条例》和相关规定，不断建立和完善政府信息公开制度，认真办理政府信息公开申请，切实保障人民群众的知情权、参与权、监督权和表达权，不断推进信息公开工作取得新成效。</w:t>
      </w:r>
    </w:p>
    <w:p>
      <w:pPr>
        <w:ind w:firstLine="640" w:firstLineChars="200"/>
        <w:jc w:val="both"/>
        <w:rPr>
          <w:rFonts w:hint="eastAsia" w:ascii="Times New Roman" w:hAnsi="Times New Roman" w:eastAsia="仿宋_GB2312" w:cs="Times New Roman"/>
          <w:snapToGrid w:val="0"/>
          <w:color w:val="auto"/>
          <w:kern w:val="0"/>
          <w:sz w:val="32"/>
          <w:szCs w:val="32"/>
        </w:rPr>
      </w:pPr>
      <w:r>
        <w:rPr>
          <w:rFonts w:hint="eastAsia" w:ascii="Times New Roman" w:hAnsi="Times New Roman" w:eastAsia="仿宋_GB2312" w:cs="Times New Roman"/>
          <w:snapToGrid w:val="0"/>
          <w:color w:val="auto"/>
          <w:kern w:val="0"/>
          <w:sz w:val="32"/>
          <w:szCs w:val="32"/>
          <w:lang w:eastAsia="zh-CN"/>
        </w:rPr>
        <w:t>（一）</w:t>
      </w:r>
      <w:r>
        <w:rPr>
          <w:rFonts w:hint="eastAsia" w:ascii="Times New Roman" w:hAnsi="Times New Roman" w:eastAsia="仿宋_GB2312" w:cs="Times New Roman"/>
          <w:snapToGrid w:val="0"/>
          <w:color w:val="auto"/>
          <w:kern w:val="0"/>
          <w:sz w:val="32"/>
          <w:szCs w:val="32"/>
        </w:rPr>
        <w:t>加强领导</w:t>
      </w:r>
      <w:r>
        <w:rPr>
          <w:rFonts w:hint="eastAsia" w:ascii="Times New Roman" w:hAnsi="Times New Roman" w:eastAsia="仿宋_GB2312" w:cs="Times New Roman"/>
          <w:snapToGrid w:val="0"/>
          <w:color w:val="auto"/>
          <w:kern w:val="0"/>
          <w:sz w:val="32"/>
          <w:szCs w:val="32"/>
          <w:lang w:eastAsia="zh-CN"/>
        </w:rPr>
        <w:t>，</w:t>
      </w:r>
      <w:r>
        <w:rPr>
          <w:rFonts w:hint="eastAsia" w:ascii="Times New Roman" w:hAnsi="Times New Roman" w:eastAsia="仿宋_GB2312" w:cs="Times New Roman"/>
          <w:snapToGrid w:val="0"/>
          <w:color w:val="auto"/>
          <w:kern w:val="0"/>
          <w:sz w:val="32"/>
          <w:szCs w:val="32"/>
        </w:rPr>
        <w:t>健全</w:t>
      </w:r>
      <w:r>
        <w:rPr>
          <w:rFonts w:hint="eastAsia" w:ascii="Times New Roman" w:hAnsi="Times New Roman" w:eastAsia="仿宋_GB2312" w:cs="Times New Roman"/>
          <w:snapToGrid w:val="0"/>
          <w:color w:val="auto"/>
          <w:kern w:val="0"/>
          <w:sz w:val="32"/>
          <w:szCs w:val="32"/>
          <w:lang w:eastAsia="zh-CN"/>
        </w:rPr>
        <w:t>工作</w:t>
      </w:r>
      <w:r>
        <w:rPr>
          <w:rFonts w:hint="eastAsia" w:ascii="Times New Roman" w:hAnsi="Times New Roman" w:eastAsia="仿宋_GB2312" w:cs="Times New Roman"/>
          <w:snapToGrid w:val="0"/>
          <w:color w:val="auto"/>
          <w:kern w:val="0"/>
          <w:sz w:val="32"/>
          <w:szCs w:val="32"/>
        </w:rPr>
        <w:t>机制</w:t>
      </w:r>
    </w:p>
    <w:p>
      <w:pPr>
        <w:snapToGrid w:val="0"/>
        <w:spacing w:line="324" w:lineRule="auto"/>
        <w:ind w:firstLine="640" w:firstLineChars="200"/>
        <w:jc w:val="both"/>
        <w:rPr>
          <w:rFonts w:hint="eastAsia" w:ascii="Times New Roman" w:hAnsi="Times New Roman" w:eastAsia="仿宋_GB2312" w:cs="Times New Roman"/>
          <w:snapToGrid w:val="0"/>
          <w:color w:val="auto"/>
          <w:kern w:val="0"/>
          <w:sz w:val="32"/>
          <w:szCs w:val="32"/>
          <w:lang w:val="en-US" w:eastAsia="zh-CN"/>
        </w:rPr>
      </w:pPr>
      <w:r>
        <w:rPr>
          <w:rFonts w:hint="eastAsia" w:ascii="Times New Roman" w:hAnsi="Times New Roman" w:eastAsia="仿宋_GB2312" w:cs="Times New Roman"/>
          <w:snapToGrid w:val="0"/>
          <w:color w:val="auto"/>
          <w:kern w:val="0"/>
          <w:sz w:val="32"/>
          <w:szCs w:val="32"/>
        </w:rPr>
        <w:t>制订政府信息公开年度工作方案，并将该工作与相关人员考核评比挂钩。落实专人负责网站，按要求开设政府信息公开栏，并保持畅通链接。对公开发布的信息，由办公室负责收集，由相关领导审核，落实“先审核、后发布”、“未审核、不发布”。形成</w:t>
      </w:r>
      <w:r>
        <w:rPr>
          <w:rFonts w:hint="eastAsia" w:ascii="Times New Roman" w:hAnsi="Times New Roman" w:eastAsia="仿宋_GB2312" w:cs="Times New Roman"/>
          <w:snapToGrid w:val="0"/>
          <w:color w:val="auto"/>
          <w:kern w:val="0"/>
          <w:sz w:val="32"/>
          <w:szCs w:val="32"/>
          <w:lang w:eastAsia="zh-CN"/>
        </w:rPr>
        <w:t>“</w:t>
      </w:r>
      <w:r>
        <w:rPr>
          <w:rFonts w:hint="eastAsia" w:ascii="Times New Roman" w:hAnsi="Times New Roman" w:eastAsia="仿宋_GB2312" w:cs="Times New Roman"/>
          <w:snapToGrid w:val="0"/>
          <w:color w:val="auto"/>
          <w:kern w:val="0"/>
          <w:sz w:val="32"/>
          <w:szCs w:val="32"/>
        </w:rPr>
        <w:t>主要领导亲自抓</w:t>
      </w:r>
      <w:r>
        <w:rPr>
          <w:rFonts w:hint="eastAsia" w:ascii="Times New Roman" w:hAnsi="Times New Roman" w:eastAsia="仿宋_GB2312" w:cs="Times New Roman"/>
          <w:snapToGrid w:val="0"/>
          <w:color w:val="auto"/>
          <w:kern w:val="0"/>
          <w:sz w:val="32"/>
          <w:szCs w:val="32"/>
          <w:lang w:eastAsia="zh-CN"/>
        </w:rPr>
        <w:t>，</w:t>
      </w:r>
      <w:r>
        <w:rPr>
          <w:rFonts w:hint="eastAsia" w:ascii="Times New Roman" w:hAnsi="Times New Roman" w:eastAsia="仿宋_GB2312" w:cs="Times New Roman"/>
          <w:snapToGrid w:val="0"/>
          <w:color w:val="auto"/>
          <w:kern w:val="0"/>
          <w:sz w:val="32"/>
          <w:szCs w:val="32"/>
        </w:rPr>
        <w:t>分管领导具体抓</w:t>
      </w:r>
      <w:r>
        <w:rPr>
          <w:rFonts w:hint="eastAsia" w:ascii="Times New Roman" w:hAnsi="Times New Roman" w:eastAsia="仿宋_GB2312" w:cs="Times New Roman"/>
          <w:snapToGrid w:val="0"/>
          <w:color w:val="auto"/>
          <w:kern w:val="0"/>
          <w:sz w:val="32"/>
          <w:szCs w:val="32"/>
          <w:lang w:eastAsia="zh-CN"/>
        </w:rPr>
        <w:t>，</w:t>
      </w:r>
      <w:r>
        <w:rPr>
          <w:rFonts w:hint="eastAsia" w:ascii="Times New Roman" w:hAnsi="Times New Roman" w:eastAsia="仿宋_GB2312" w:cs="Times New Roman"/>
          <w:snapToGrid w:val="0"/>
          <w:color w:val="auto"/>
          <w:kern w:val="0"/>
          <w:sz w:val="32"/>
          <w:szCs w:val="32"/>
        </w:rPr>
        <w:t>专门机构抓落实</w:t>
      </w:r>
      <w:r>
        <w:rPr>
          <w:rFonts w:hint="eastAsia" w:ascii="Times New Roman" w:hAnsi="Times New Roman" w:eastAsia="仿宋_GB2312" w:cs="Times New Roman"/>
          <w:snapToGrid w:val="0"/>
          <w:color w:val="auto"/>
          <w:kern w:val="0"/>
          <w:sz w:val="32"/>
          <w:szCs w:val="32"/>
          <w:lang w:eastAsia="zh-CN"/>
        </w:rPr>
        <w:t>，</w:t>
      </w:r>
      <w:r>
        <w:rPr>
          <w:rFonts w:hint="eastAsia" w:ascii="Times New Roman" w:hAnsi="Times New Roman" w:eastAsia="仿宋_GB2312" w:cs="Times New Roman"/>
          <w:snapToGrid w:val="0"/>
          <w:color w:val="auto"/>
          <w:kern w:val="0"/>
          <w:sz w:val="32"/>
          <w:szCs w:val="32"/>
        </w:rPr>
        <w:t>明确专人负责做</w:t>
      </w:r>
      <w:r>
        <w:rPr>
          <w:rFonts w:hint="eastAsia" w:ascii="Times New Roman" w:hAnsi="Times New Roman" w:eastAsia="仿宋_GB2312" w:cs="Times New Roman"/>
          <w:snapToGrid w:val="0"/>
          <w:color w:val="auto"/>
          <w:kern w:val="0"/>
          <w:sz w:val="32"/>
          <w:szCs w:val="32"/>
          <w:lang w:eastAsia="zh-CN"/>
        </w:rPr>
        <w:t>”</w:t>
      </w:r>
      <w:r>
        <w:rPr>
          <w:rFonts w:hint="eastAsia" w:ascii="Times New Roman" w:hAnsi="Times New Roman" w:eastAsia="仿宋_GB2312" w:cs="Times New Roman"/>
          <w:snapToGrid w:val="0"/>
          <w:color w:val="auto"/>
          <w:kern w:val="0"/>
          <w:sz w:val="32"/>
          <w:szCs w:val="32"/>
        </w:rPr>
        <w:t>的工作机制。</w:t>
      </w:r>
    </w:p>
    <w:p>
      <w:pPr>
        <w:ind w:firstLine="640" w:firstLineChars="200"/>
        <w:jc w:val="both"/>
        <w:rPr>
          <w:rFonts w:hint="eastAsia" w:ascii="Times New Roman" w:hAnsi="Times New Roman" w:eastAsia="仿宋_GB2312" w:cs="Times New Roman"/>
          <w:snapToGrid w:val="0"/>
          <w:color w:val="auto"/>
          <w:kern w:val="0"/>
          <w:sz w:val="32"/>
          <w:szCs w:val="32"/>
        </w:rPr>
      </w:pPr>
      <w:r>
        <w:rPr>
          <w:rFonts w:hint="eastAsia" w:ascii="Times New Roman" w:hAnsi="Times New Roman" w:eastAsia="仿宋_GB2312" w:cs="Times New Roman"/>
          <w:snapToGrid w:val="0"/>
          <w:color w:val="auto"/>
          <w:kern w:val="0"/>
          <w:sz w:val="32"/>
          <w:szCs w:val="32"/>
        </w:rPr>
        <w:t>（二）加强宣传</w:t>
      </w:r>
      <w:r>
        <w:rPr>
          <w:rFonts w:hint="eastAsia" w:ascii="Times New Roman" w:hAnsi="Times New Roman" w:eastAsia="仿宋_GB2312" w:cs="Times New Roman"/>
          <w:snapToGrid w:val="0"/>
          <w:color w:val="auto"/>
          <w:kern w:val="0"/>
          <w:sz w:val="32"/>
          <w:szCs w:val="32"/>
          <w:lang w:eastAsia="zh-CN"/>
        </w:rPr>
        <w:t>，拓宽公开</w:t>
      </w:r>
      <w:r>
        <w:rPr>
          <w:rFonts w:hint="eastAsia" w:ascii="Times New Roman" w:hAnsi="Times New Roman" w:eastAsia="仿宋_GB2312" w:cs="Times New Roman"/>
          <w:snapToGrid w:val="0"/>
          <w:color w:val="auto"/>
          <w:kern w:val="0"/>
          <w:sz w:val="32"/>
          <w:szCs w:val="32"/>
        </w:rPr>
        <w:t>渠道</w:t>
      </w:r>
    </w:p>
    <w:p>
      <w:pPr>
        <w:snapToGrid w:val="0"/>
        <w:spacing w:line="324" w:lineRule="auto"/>
        <w:ind w:firstLine="640" w:firstLineChars="200"/>
        <w:jc w:val="both"/>
        <w:rPr>
          <w:rFonts w:hint="eastAsia" w:ascii="Times New Roman" w:hAnsi="Times New Roman" w:eastAsia="仿宋_GB2312"/>
          <w:snapToGrid w:val="0"/>
          <w:color w:val="auto"/>
          <w:kern w:val="0"/>
          <w:sz w:val="32"/>
          <w:szCs w:val="32"/>
        </w:rPr>
      </w:pPr>
      <w:r>
        <w:rPr>
          <w:rFonts w:hint="eastAsia" w:ascii="Times New Roman" w:hAnsi="Times New Roman" w:eastAsia="仿宋_GB2312"/>
          <w:snapToGrid w:val="0"/>
          <w:color w:val="auto"/>
          <w:kern w:val="0"/>
          <w:sz w:val="32"/>
          <w:szCs w:val="32"/>
        </w:rPr>
        <w:t>坚持多渠道、多形式开展政务公开工作，丰富公开形式，创新公开载体，不断扩大各项政策及工作的知晓面。</w:t>
      </w:r>
      <w:r>
        <w:rPr>
          <w:rFonts w:hint="eastAsia" w:ascii="Times New Roman" w:hAnsi="Times New Roman" w:eastAsia="仿宋_GB2312"/>
          <w:snapToGrid w:val="0"/>
          <w:color w:val="auto"/>
          <w:kern w:val="0"/>
          <w:sz w:val="32"/>
          <w:szCs w:val="32"/>
          <w:lang w:eastAsia="zh-CN"/>
        </w:rPr>
        <w:t>通过</w:t>
      </w:r>
      <w:r>
        <w:rPr>
          <w:rFonts w:hint="eastAsia" w:ascii="Times New Roman" w:hAnsi="Times New Roman" w:eastAsia="仿宋_GB2312"/>
          <w:snapToGrid w:val="0"/>
          <w:color w:val="auto"/>
          <w:kern w:val="0"/>
          <w:sz w:val="32"/>
          <w:szCs w:val="32"/>
        </w:rPr>
        <w:t>南部商务区</w:t>
      </w:r>
      <w:r>
        <w:rPr>
          <w:rFonts w:hint="eastAsia" w:ascii="Times New Roman" w:hAnsi="Times New Roman" w:eastAsia="仿宋_GB2312"/>
          <w:snapToGrid w:val="0"/>
          <w:color w:val="auto"/>
          <w:kern w:val="0"/>
          <w:sz w:val="32"/>
          <w:szCs w:val="32"/>
          <w:lang w:eastAsia="zh-CN"/>
        </w:rPr>
        <w:t>官网、微信</w:t>
      </w:r>
      <w:r>
        <w:rPr>
          <w:rFonts w:hint="eastAsia" w:ascii="Times New Roman" w:hAnsi="Times New Roman" w:eastAsia="仿宋_GB2312"/>
          <w:snapToGrid w:val="0"/>
          <w:color w:val="auto"/>
          <w:kern w:val="0"/>
          <w:sz w:val="32"/>
          <w:szCs w:val="32"/>
        </w:rPr>
        <w:t>、自媒体</w:t>
      </w:r>
      <w:r>
        <w:rPr>
          <w:rFonts w:hint="eastAsia" w:ascii="Times New Roman" w:hAnsi="Times New Roman" w:eastAsia="仿宋_GB2312"/>
          <w:snapToGrid w:val="0"/>
          <w:color w:val="auto"/>
          <w:kern w:val="0"/>
          <w:sz w:val="32"/>
          <w:szCs w:val="32"/>
          <w:lang w:eastAsia="zh-CN"/>
        </w:rPr>
        <w:t>及新闻媒体</w:t>
      </w:r>
      <w:r>
        <w:rPr>
          <w:rFonts w:hint="eastAsia" w:ascii="Times New Roman" w:hAnsi="Times New Roman" w:eastAsia="仿宋_GB2312"/>
          <w:snapToGrid w:val="0"/>
          <w:color w:val="auto"/>
          <w:kern w:val="0"/>
          <w:sz w:val="32"/>
          <w:szCs w:val="32"/>
        </w:rPr>
        <w:t>等发布园区信息，及时公布商务区资讯</w:t>
      </w:r>
      <w:r>
        <w:rPr>
          <w:rFonts w:hint="eastAsia" w:ascii="Times New Roman" w:hAnsi="Times New Roman" w:eastAsia="仿宋_GB2312"/>
          <w:snapToGrid w:val="0"/>
          <w:color w:val="auto"/>
          <w:kern w:val="0"/>
          <w:sz w:val="32"/>
          <w:szCs w:val="32"/>
          <w:lang w:eastAsia="zh-CN"/>
        </w:rPr>
        <w:t>；</w:t>
      </w:r>
      <w:r>
        <w:rPr>
          <w:rFonts w:hint="eastAsia" w:ascii="Times New Roman" w:hAnsi="Times New Roman" w:eastAsia="仿宋_GB2312"/>
          <w:snapToGrid w:val="0"/>
          <w:color w:val="auto"/>
          <w:kern w:val="0"/>
          <w:sz w:val="32"/>
          <w:szCs w:val="32"/>
        </w:rPr>
        <w:t>在管委会外围宣传栏处</w:t>
      </w:r>
      <w:r>
        <w:rPr>
          <w:rFonts w:hint="eastAsia" w:ascii="Times New Roman" w:hAnsi="Times New Roman" w:eastAsia="仿宋_GB2312"/>
          <w:snapToGrid w:val="0"/>
          <w:color w:val="auto"/>
          <w:kern w:val="0"/>
          <w:sz w:val="32"/>
          <w:szCs w:val="32"/>
          <w:lang w:eastAsia="zh-CN"/>
        </w:rPr>
        <w:t>等，定期</w:t>
      </w:r>
      <w:r>
        <w:rPr>
          <w:rFonts w:hint="eastAsia" w:ascii="Times New Roman" w:hAnsi="Times New Roman" w:eastAsia="仿宋_GB2312"/>
          <w:snapToGrid w:val="0"/>
          <w:color w:val="auto"/>
          <w:kern w:val="0"/>
          <w:sz w:val="32"/>
          <w:szCs w:val="32"/>
        </w:rPr>
        <w:t>更新政府工作动态、商务区实时信息，不定期更新专题内容等；拓宽政民互动交流渠道</w:t>
      </w:r>
      <w:r>
        <w:rPr>
          <w:rFonts w:hint="eastAsia" w:ascii="Times New Roman" w:hAnsi="Times New Roman" w:eastAsia="仿宋_GB2312"/>
          <w:snapToGrid w:val="0"/>
          <w:color w:val="auto"/>
          <w:kern w:val="0"/>
          <w:sz w:val="32"/>
          <w:szCs w:val="32"/>
          <w:lang w:eastAsia="zh-CN"/>
        </w:rPr>
        <w:t>，</w:t>
      </w:r>
      <w:r>
        <w:rPr>
          <w:rFonts w:hint="eastAsia" w:ascii="Times New Roman" w:hAnsi="Times New Roman" w:eastAsia="仿宋_GB2312"/>
          <w:snapToGrid w:val="0"/>
          <w:color w:val="auto"/>
          <w:kern w:val="0"/>
          <w:sz w:val="32"/>
          <w:szCs w:val="32"/>
        </w:rPr>
        <w:t>普及政务公开知识。</w:t>
      </w:r>
    </w:p>
    <w:p>
      <w:pPr>
        <w:ind w:firstLine="640" w:firstLineChars="200"/>
        <w:jc w:val="both"/>
        <w:rPr>
          <w:rFonts w:hint="eastAsia" w:ascii="Times New Roman" w:hAnsi="Times New Roman" w:eastAsia="仿宋_GB2312" w:cs="Times New Roman"/>
          <w:snapToGrid w:val="0"/>
          <w:color w:val="auto"/>
          <w:kern w:val="0"/>
          <w:sz w:val="32"/>
          <w:szCs w:val="32"/>
        </w:rPr>
      </w:pPr>
      <w:r>
        <w:rPr>
          <w:rFonts w:hint="eastAsia" w:ascii="Times New Roman" w:hAnsi="Times New Roman" w:eastAsia="仿宋_GB2312" w:cs="Times New Roman"/>
          <w:snapToGrid w:val="0"/>
          <w:color w:val="auto"/>
          <w:kern w:val="0"/>
          <w:sz w:val="32"/>
          <w:szCs w:val="32"/>
        </w:rPr>
        <w:t>（三）</w:t>
      </w:r>
      <w:r>
        <w:rPr>
          <w:rFonts w:hint="eastAsia" w:ascii="Times New Roman" w:hAnsi="Times New Roman" w:eastAsia="仿宋_GB2312" w:cs="Times New Roman"/>
          <w:snapToGrid w:val="0"/>
          <w:color w:val="auto"/>
          <w:kern w:val="0"/>
          <w:sz w:val="32"/>
          <w:szCs w:val="32"/>
          <w:lang w:eastAsia="zh-CN"/>
        </w:rPr>
        <w:t>提升质量</w:t>
      </w:r>
      <w:r>
        <w:rPr>
          <w:rFonts w:hint="eastAsia" w:ascii="Times New Roman" w:hAnsi="Times New Roman" w:eastAsia="仿宋_GB2312" w:cs="Times New Roman"/>
          <w:snapToGrid w:val="0"/>
          <w:color w:val="auto"/>
          <w:kern w:val="0"/>
          <w:sz w:val="32"/>
          <w:szCs w:val="32"/>
        </w:rPr>
        <w:t>，丰富公开内容</w:t>
      </w:r>
    </w:p>
    <w:p>
      <w:pPr>
        <w:snapToGrid w:val="0"/>
        <w:spacing w:line="324" w:lineRule="auto"/>
        <w:ind w:firstLine="640" w:firstLineChars="200"/>
        <w:jc w:val="both"/>
        <w:rPr>
          <w:rFonts w:hint="eastAsia" w:ascii="Times New Roman" w:hAnsi="Times New Roman" w:eastAsia="仿宋_GB2312"/>
          <w:snapToGrid w:val="0"/>
          <w:color w:val="auto"/>
          <w:kern w:val="0"/>
          <w:sz w:val="32"/>
          <w:szCs w:val="32"/>
          <w:lang w:eastAsia="zh-CN"/>
        </w:rPr>
      </w:pPr>
      <w:r>
        <w:rPr>
          <w:rFonts w:hint="eastAsia" w:ascii="Times New Roman" w:hAnsi="Times New Roman" w:eastAsia="仿宋_GB2312"/>
          <w:snapToGrid w:val="0"/>
          <w:color w:val="auto"/>
          <w:kern w:val="0"/>
          <w:sz w:val="32"/>
          <w:szCs w:val="32"/>
        </w:rPr>
        <w:t>把丰富政务公开</w:t>
      </w:r>
      <w:r>
        <w:rPr>
          <w:rFonts w:hint="eastAsia" w:ascii="Times New Roman" w:hAnsi="Times New Roman" w:eastAsia="仿宋_GB2312"/>
          <w:snapToGrid w:val="0"/>
          <w:color w:val="auto"/>
          <w:kern w:val="0"/>
          <w:sz w:val="32"/>
          <w:szCs w:val="32"/>
          <w:lang w:eastAsia="zh-CN"/>
        </w:rPr>
        <w:t>内容</w:t>
      </w:r>
      <w:r>
        <w:rPr>
          <w:rFonts w:hint="eastAsia" w:ascii="Times New Roman" w:hAnsi="Times New Roman" w:eastAsia="仿宋_GB2312"/>
          <w:snapToGrid w:val="0"/>
          <w:color w:val="auto"/>
          <w:kern w:val="0"/>
          <w:sz w:val="32"/>
          <w:szCs w:val="32"/>
        </w:rPr>
        <w:t>、提升政务公开质量作为重点</w:t>
      </w:r>
      <w:r>
        <w:rPr>
          <w:rFonts w:hint="eastAsia" w:ascii="Times New Roman" w:hAnsi="Times New Roman" w:eastAsia="仿宋_GB2312"/>
          <w:snapToGrid w:val="0"/>
          <w:color w:val="auto"/>
          <w:kern w:val="0"/>
          <w:sz w:val="32"/>
          <w:szCs w:val="32"/>
          <w:lang w:eastAsia="zh-CN"/>
        </w:rPr>
        <w:t>，坚持</w:t>
      </w:r>
      <w:r>
        <w:rPr>
          <w:rFonts w:hint="eastAsia" w:ascii="Times New Roman" w:hAnsi="Times New Roman" w:eastAsia="仿宋_GB2312"/>
          <w:snapToGrid w:val="0"/>
          <w:color w:val="auto"/>
          <w:kern w:val="0"/>
          <w:sz w:val="32"/>
          <w:szCs w:val="32"/>
        </w:rPr>
        <w:t>以公众需求为导向，</w:t>
      </w:r>
      <w:r>
        <w:rPr>
          <w:rFonts w:ascii="仿宋_GB2312" w:hAnsi="Calibri" w:eastAsia="仿宋_GB2312" w:cs="Times New Roman"/>
          <w:color w:val="auto"/>
          <w:sz w:val="32"/>
          <w:szCs w:val="32"/>
        </w:rPr>
        <w:t>拓展信息公开的深度和广度</w:t>
      </w:r>
      <w:r>
        <w:rPr>
          <w:rFonts w:hint="eastAsia" w:ascii="Times New Roman" w:hAnsi="Times New Roman" w:eastAsia="仿宋_GB2312"/>
          <w:snapToGrid w:val="0"/>
          <w:color w:val="auto"/>
          <w:kern w:val="0"/>
          <w:sz w:val="32"/>
          <w:szCs w:val="32"/>
          <w:lang w:eastAsia="zh-CN"/>
        </w:rPr>
        <w:t>，特别</w:t>
      </w:r>
      <w:r>
        <w:rPr>
          <w:rFonts w:hint="eastAsia" w:ascii="Times New Roman" w:hAnsi="Times New Roman" w:eastAsia="仿宋_GB2312"/>
          <w:snapToGrid w:val="0"/>
          <w:color w:val="auto"/>
          <w:kern w:val="0"/>
          <w:sz w:val="32"/>
          <w:szCs w:val="32"/>
        </w:rPr>
        <w:t>是涉及群众</w:t>
      </w:r>
      <w:r>
        <w:rPr>
          <w:rFonts w:hint="eastAsia" w:ascii="Times New Roman" w:hAnsi="Times New Roman" w:eastAsia="仿宋_GB2312"/>
          <w:snapToGrid w:val="0"/>
          <w:color w:val="auto"/>
          <w:kern w:val="0"/>
          <w:sz w:val="32"/>
          <w:szCs w:val="32"/>
          <w:lang w:eastAsia="zh-CN"/>
        </w:rPr>
        <w:t>、服务对象</w:t>
      </w:r>
      <w:r>
        <w:rPr>
          <w:rFonts w:hint="eastAsia" w:ascii="Times New Roman" w:hAnsi="Times New Roman" w:eastAsia="仿宋_GB2312"/>
          <w:snapToGrid w:val="0"/>
          <w:color w:val="auto"/>
          <w:kern w:val="0"/>
          <w:sz w:val="32"/>
          <w:szCs w:val="32"/>
        </w:rPr>
        <w:t>利益的</w:t>
      </w:r>
      <w:r>
        <w:rPr>
          <w:rFonts w:hint="eastAsia" w:ascii="Times New Roman" w:hAnsi="Times New Roman" w:eastAsia="仿宋_GB2312"/>
          <w:snapToGrid w:val="0"/>
          <w:color w:val="auto"/>
          <w:kern w:val="0"/>
          <w:sz w:val="32"/>
          <w:szCs w:val="32"/>
          <w:lang w:eastAsia="zh-CN"/>
        </w:rPr>
        <w:t>工作</w:t>
      </w:r>
      <w:r>
        <w:rPr>
          <w:rFonts w:hint="eastAsia" w:ascii="Times New Roman" w:hAnsi="Times New Roman" w:eastAsia="仿宋_GB2312"/>
          <w:snapToGrid w:val="0"/>
          <w:color w:val="auto"/>
          <w:kern w:val="0"/>
          <w:sz w:val="32"/>
          <w:szCs w:val="32"/>
        </w:rPr>
        <w:t>，按照政府信息公开要求和程序予以公布</w:t>
      </w:r>
      <w:r>
        <w:rPr>
          <w:rFonts w:hint="eastAsia" w:ascii="Times New Roman" w:hAnsi="Times New Roman" w:eastAsia="仿宋_GB2312"/>
          <w:snapToGrid w:val="0"/>
          <w:color w:val="auto"/>
          <w:kern w:val="0"/>
          <w:sz w:val="32"/>
          <w:szCs w:val="32"/>
          <w:lang w:eastAsia="zh-CN"/>
        </w:rPr>
        <w:t>，做到及时、准确、有效</w:t>
      </w:r>
      <w:r>
        <w:rPr>
          <w:rFonts w:hint="eastAsia" w:ascii="Times New Roman" w:hAnsi="Times New Roman" w:eastAsia="仿宋_GB2312"/>
          <w:snapToGrid w:val="0"/>
          <w:color w:val="auto"/>
          <w:kern w:val="0"/>
          <w:sz w:val="32"/>
          <w:szCs w:val="32"/>
        </w:rPr>
        <w:t>。</w:t>
      </w:r>
      <w:r>
        <w:rPr>
          <w:rFonts w:hint="eastAsia" w:ascii="Times New Roman" w:hAnsi="Times New Roman" w:eastAsia="仿宋_GB2312"/>
          <w:snapToGrid w:val="0"/>
          <w:color w:val="auto"/>
          <w:kern w:val="0"/>
          <w:sz w:val="32"/>
          <w:szCs w:val="32"/>
          <w:lang w:eastAsia="zh-CN"/>
        </w:rPr>
        <w:t>用群众听得懂的语言、看得到的方式公开政府信息，不断提高公开质量和实效，自觉接受社会各界的监督。</w:t>
      </w:r>
    </w:p>
    <w:p>
      <w:pPr>
        <w:snapToGrid w:val="0"/>
        <w:spacing w:line="324" w:lineRule="auto"/>
        <w:ind w:firstLine="640" w:firstLineChars="200"/>
        <w:jc w:val="both"/>
        <w:rPr>
          <w:rFonts w:ascii="黑体" w:hAnsi="Calibri" w:eastAsia="黑体" w:cs="黑体"/>
          <w:color w:val="auto"/>
          <w:sz w:val="32"/>
          <w:szCs w:val="32"/>
        </w:rPr>
      </w:pPr>
      <w:r>
        <w:rPr>
          <w:rFonts w:hint="eastAsia" w:ascii="黑体" w:hAnsi="Calibri" w:eastAsia="黑体" w:cs="黑体"/>
          <w:color w:val="auto"/>
          <w:sz w:val="32"/>
          <w:szCs w:val="32"/>
        </w:rPr>
        <w:t>二、主动公开政府信息情况</w:t>
      </w:r>
    </w:p>
    <w:p>
      <w:pPr>
        <w:ind w:firstLine="640" w:firstLineChars="200"/>
        <w:jc w:val="both"/>
        <w:rPr>
          <w:rFonts w:hint="eastAsia" w:ascii="Times New Roman" w:hAnsi="Times New Roman" w:eastAsia="仿宋_GB2312"/>
          <w:snapToGrid w:val="0"/>
          <w:color w:val="auto"/>
          <w:kern w:val="0"/>
          <w:sz w:val="32"/>
          <w:szCs w:val="32"/>
          <w:lang w:eastAsia="zh-CN"/>
        </w:rPr>
      </w:pPr>
      <w:r>
        <w:rPr>
          <w:rFonts w:hint="eastAsia" w:ascii="Times New Roman" w:hAnsi="Times New Roman" w:eastAsia="仿宋_GB2312"/>
          <w:snapToGrid w:val="0"/>
          <w:color w:val="auto"/>
          <w:kern w:val="0"/>
          <w:sz w:val="32"/>
          <w:szCs w:val="32"/>
        </w:rPr>
        <w:t>（一）主动公开</w:t>
      </w:r>
      <w:r>
        <w:rPr>
          <w:rFonts w:hint="eastAsia" w:ascii="Times New Roman" w:hAnsi="Times New Roman" w:eastAsia="仿宋_GB2312"/>
          <w:snapToGrid w:val="0"/>
          <w:color w:val="auto"/>
          <w:kern w:val="0"/>
          <w:sz w:val="32"/>
          <w:szCs w:val="32"/>
          <w:lang w:eastAsia="zh-CN"/>
        </w:rPr>
        <w:t>信息总数</w:t>
      </w:r>
    </w:p>
    <w:p>
      <w:pPr>
        <w:ind w:firstLine="640" w:firstLineChars="200"/>
        <w:jc w:val="both"/>
        <w:rPr>
          <w:rFonts w:hint="default" w:ascii="Times New Roman" w:hAnsi="Times New Roman" w:eastAsia="仿宋_GB2312"/>
          <w:snapToGrid w:val="0"/>
          <w:color w:val="auto"/>
          <w:kern w:val="0"/>
          <w:sz w:val="32"/>
          <w:szCs w:val="32"/>
          <w:lang w:val="en-US" w:eastAsia="zh-CN"/>
        </w:rPr>
      </w:pPr>
      <w:r>
        <w:rPr>
          <w:rFonts w:hint="eastAsia" w:ascii="Times New Roman" w:hAnsi="Times New Roman" w:eastAsia="仿宋_GB2312"/>
          <w:snapToGrid w:val="0"/>
          <w:color w:val="auto"/>
          <w:kern w:val="0"/>
          <w:sz w:val="32"/>
          <w:szCs w:val="32"/>
        </w:rPr>
        <w:t>宁波南部商务区管委会</w:t>
      </w:r>
      <w:r>
        <w:rPr>
          <w:rFonts w:hint="eastAsia" w:ascii="Times New Roman" w:hAnsi="Times New Roman" w:eastAsia="仿宋_GB2312"/>
          <w:snapToGrid w:val="0"/>
          <w:color w:val="auto"/>
          <w:kern w:val="0"/>
          <w:sz w:val="32"/>
          <w:szCs w:val="32"/>
          <w:lang w:eastAsia="zh-CN"/>
        </w:rPr>
        <w:t>本年度通过政府信息公开平台主动公开政府信息数</w:t>
      </w:r>
      <w:r>
        <w:rPr>
          <w:rFonts w:hint="eastAsia" w:ascii="Times New Roman" w:hAnsi="Times New Roman" w:eastAsia="仿宋_GB2312"/>
          <w:snapToGrid w:val="0"/>
          <w:color w:val="auto"/>
          <w:kern w:val="0"/>
          <w:sz w:val="32"/>
          <w:szCs w:val="32"/>
          <w:lang w:val="en-US" w:eastAsia="zh-CN"/>
        </w:rPr>
        <w:t>129条；通过政务微信方式公布的信息共246条，同比增加5.6%。</w:t>
      </w:r>
    </w:p>
    <w:p>
      <w:pPr>
        <w:ind w:firstLine="640" w:firstLineChars="200"/>
        <w:jc w:val="both"/>
        <w:rPr>
          <w:rFonts w:hint="eastAsia" w:ascii="Times New Roman" w:hAnsi="Times New Roman" w:eastAsia="仿宋_GB2312"/>
          <w:snapToGrid w:val="0"/>
          <w:color w:val="auto"/>
          <w:kern w:val="0"/>
          <w:sz w:val="32"/>
          <w:szCs w:val="32"/>
        </w:rPr>
      </w:pPr>
      <w:r>
        <w:rPr>
          <w:rFonts w:hint="eastAsia" w:ascii="Times New Roman" w:hAnsi="Times New Roman" w:eastAsia="仿宋_GB2312"/>
          <w:snapToGrid w:val="0"/>
          <w:color w:val="auto"/>
          <w:kern w:val="0"/>
          <w:sz w:val="32"/>
          <w:szCs w:val="32"/>
        </w:rPr>
        <w:t>（</w:t>
      </w:r>
      <w:r>
        <w:rPr>
          <w:rFonts w:hint="eastAsia" w:ascii="Times New Roman" w:hAnsi="Times New Roman" w:eastAsia="仿宋_GB2312"/>
          <w:snapToGrid w:val="0"/>
          <w:color w:val="auto"/>
          <w:kern w:val="0"/>
          <w:sz w:val="32"/>
          <w:szCs w:val="32"/>
          <w:lang w:eastAsia="zh-CN"/>
        </w:rPr>
        <w:t>二</w:t>
      </w:r>
      <w:r>
        <w:rPr>
          <w:rFonts w:hint="eastAsia" w:ascii="Times New Roman" w:hAnsi="Times New Roman" w:eastAsia="仿宋_GB2312"/>
          <w:snapToGrid w:val="0"/>
          <w:color w:val="auto"/>
          <w:kern w:val="0"/>
          <w:sz w:val="32"/>
          <w:szCs w:val="32"/>
        </w:rPr>
        <w:t>）主动公开类别情况</w:t>
      </w:r>
    </w:p>
    <w:p>
      <w:pPr>
        <w:ind w:firstLine="640" w:firstLineChars="200"/>
        <w:jc w:val="both"/>
        <w:rPr>
          <w:rFonts w:hint="eastAsia" w:ascii="Times New Roman" w:hAnsi="Times New Roman" w:eastAsia="仿宋_GB2312"/>
          <w:snapToGrid w:val="0"/>
          <w:color w:val="auto"/>
          <w:kern w:val="0"/>
          <w:sz w:val="32"/>
          <w:szCs w:val="32"/>
          <w:lang w:eastAsia="zh-CN"/>
        </w:rPr>
      </w:pPr>
      <w:r>
        <w:rPr>
          <w:rFonts w:hint="eastAsia" w:ascii="Times New Roman" w:hAnsi="Times New Roman" w:eastAsia="仿宋_GB2312"/>
          <w:snapToGrid w:val="0"/>
          <w:color w:val="auto"/>
          <w:kern w:val="0"/>
          <w:sz w:val="32"/>
          <w:szCs w:val="32"/>
          <w:lang w:eastAsia="zh-CN"/>
        </w:rPr>
        <w:t>1</w:t>
      </w:r>
      <w:r>
        <w:rPr>
          <w:rFonts w:hint="eastAsia" w:ascii="Times New Roman" w:hAnsi="Times New Roman" w:eastAsia="仿宋_GB2312"/>
          <w:snapToGrid w:val="0"/>
          <w:color w:val="auto"/>
          <w:kern w:val="0"/>
          <w:sz w:val="32"/>
          <w:szCs w:val="32"/>
          <w:lang w:val="en-US" w:eastAsia="zh-CN"/>
        </w:rPr>
        <w:t>、</w:t>
      </w:r>
      <w:r>
        <w:rPr>
          <w:rFonts w:hint="eastAsia" w:ascii="Times New Roman" w:hAnsi="Times New Roman" w:eastAsia="仿宋_GB2312"/>
          <w:snapToGrid w:val="0"/>
          <w:color w:val="auto"/>
          <w:kern w:val="0"/>
          <w:sz w:val="32"/>
          <w:szCs w:val="32"/>
          <w:lang w:eastAsia="zh-CN"/>
        </w:rPr>
        <w:t>政策法规类信息：政府决策</w:t>
      </w:r>
      <w:r>
        <w:rPr>
          <w:rFonts w:hint="eastAsia" w:ascii="Times New Roman" w:hAnsi="Times New Roman" w:eastAsia="仿宋_GB2312"/>
          <w:snapToGrid w:val="0"/>
          <w:color w:val="auto"/>
          <w:kern w:val="0"/>
          <w:sz w:val="32"/>
          <w:szCs w:val="32"/>
          <w:lang w:val="en-US" w:eastAsia="zh-CN"/>
        </w:rPr>
        <w:t>1条</w:t>
      </w:r>
      <w:r>
        <w:rPr>
          <w:rFonts w:hint="eastAsia" w:ascii="Times New Roman" w:hAnsi="Times New Roman" w:eastAsia="仿宋_GB2312"/>
          <w:snapToGrid w:val="0"/>
          <w:color w:val="auto"/>
          <w:kern w:val="0"/>
          <w:sz w:val="32"/>
          <w:szCs w:val="32"/>
          <w:lang w:eastAsia="zh-CN"/>
        </w:rPr>
        <w:t>、法规公文</w:t>
      </w:r>
      <w:r>
        <w:rPr>
          <w:rFonts w:hint="eastAsia" w:ascii="Times New Roman" w:hAnsi="Times New Roman" w:eastAsia="仿宋_GB2312"/>
          <w:snapToGrid w:val="0"/>
          <w:color w:val="auto"/>
          <w:kern w:val="0"/>
          <w:sz w:val="32"/>
          <w:szCs w:val="32"/>
          <w:lang w:val="en-US" w:eastAsia="zh-CN"/>
        </w:rPr>
        <w:t>4条</w:t>
      </w:r>
      <w:r>
        <w:rPr>
          <w:rFonts w:hint="eastAsia" w:ascii="Times New Roman" w:hAnsi="Times New Roman" w:eastAsia="仿宋_GB2312"/>
          <w:snapToGrid w:val="0"/>
          <w:color w:val="auto"/>
          <w:kern w:val="0"/>
          <w:sz w:val="32"/>
          <w:szCs w:val="32"/>
          <w:lang w:eastAsia="zh-CN"/>
        </w:rPr>
        <w:t>，共</w:t>
      </w:r>
      <w:r>
        <w:rPr>
          <w:rFonts w:hint="eastAsia" w:ascii="Times New Roman" w:hAnsi="Times New Roman" w:eastAsia="仿宋_GB2312"/>
          <w:snapToGrid w:val="0"/>
          <w:color w:val="auto"/>
          <w:kern w:val="0"/>
          <w:sz w:val="32"/>
          <w:szCs w:val="32"/>
          <w:lang w:val="en-US" w:eastAsia="zh-CN"/>
        </w:rPr>
        <w:t>5</w:t>
      </w:r>
      <w:r>
        <w:rPr>
          <w:rFonts w:hint="eastAsia" w:ascii="Times New Roman" w:hAnsi="Times New Roman" w:eastAsia="仿宋_GB2312"/>
          <w:snapToGrid w:val="0"/>
          <w:color w:val="auto"/>
          <w:kern w:val="0"/>
          <w:sz w:val="32"/>
          <w:szCs w:val="32"/>
          <w:lang w:eastAsia="zh-CN"/>
        </w:rPr>
        <w:t>条（政府信息公开平台）。</w:t>
      </w:r>
    </w:p>
    <w:p>
      <w:pPr>
        <w:ind w:firstLine="640" w:firstLineChars="200"/>
        <w:jc w:val="both"/>
        <w:rPr>
          <w:rFonts w:hint="eastAsia" w:ascii="Times New Roman" w:hAnsi="Times New Roman" w:eastAsia="仿宋_GB2312"/>
          <w:snapToGrid w:val="0"/>
          <w:color w:val="auto"/>
          <w:kern w:val="0"/>
          <w:sz w:val="32"/>
          <w:szCs w:val="32"/>
          <w:lang w:eastAsia="zh-CN"/>
        </w:rPr>
      </w:pPr>
      <w:r>
        <w:rPr>
          <w:rFonts w:hint="eastAsia" w:ascii="Times New Roman" w:hAnsi="Times New Roman" w:eastAsia="仿宋_GB2312"/>
          <w:snapToGrid w:val="0"/>
          <w:color w:val="auto"/>
          <w:kern w:val="0"/>
          <w:sz w:val="32"/>
          <w:szCs w:val="32"/>
          <w:lang w:eastAsia="zh-CN"/>
        </w:rPr>
        <w:t>2</w:t>
      </w:r>
      <w:r>
        <w:rPr>
          <w:rFonts w:hint="eastAsia" w:ascii="Times New Roman" w:hAnsi="Times New Roman" w:eastAsia="仿宋_GB2312"/>
          <w:snapToGrid w:val="0"/>
          <w:color w:val="auto"/>
          <w:kern w:val="0"/>
          <w:sz w:val="32"/>
          <w:szCs w:val="32"/>
          <w:lang w:val="en-US" w:eastAsia="zh-CN"/>
        </w:rPr>
        <w:t>、</w:t>
      </w:r>
      <w:r>
        <w:rPr>
          <w:rFonts w:hint="eastAsia" w:ascii="Times New Roman" w:hAnsi="Times New Roman" w:eastAsia="仿宋_GB2312"/>
          <w:snapToGrid w:val="0"/>
          <w:color w:val="auto"/>
          <w:kern w:val="0"/>
          <w:sz w:val="32"/>
          <w:szCs w:val="32"/>
          <w:lang w:eastAsia="zh-CN"/>
        </w:rPr>
        <w:t>业务类信息：工作信息114条（通知公告</w:t>
      </w:r>
      <w:r>
        <w:rPr>
          <w:rFonts w:hint="eastAsia" w:ascii="Times New Roman" w:hAnsi="Times New Roman" w:eastAsia="仿宋_GB2312"/>
          <w:snapToGrid w:val="0"/>
          <w:color w:val="auto"/>
          <w:kern w:val="0"/>
          <w:sz w:val="32"/>
          <w:szCs w:val="32"/>
          <w:lang w:val="en-US" w:eastAsia="zh-CN"/>
        </w:rPr>
        <w:t>11条、工作进展90条、政府建设1条、提案议案2条</w:t>
      </w:r>
      <w:r>
        <w:rPr>
          <w:rFonts w:hint="eastAsia" w:ascii="Times New Roman" w:hAnsi="Times New Roman" w:eastAsia="仿宋_GB2312"/>
          <w:snapToGrid w:val="0"/>
          <w:color w:val="auto"/>
          <w:kern w:val="0"/>
          <w:sz w:val="32"/>
          <w:szCs w:val="32"/>
          <w:lang w:eastAsia="zh-CN"/>
        </w:rPr>
        <w:t>）、人事信息</w:t>
      </w:r>
      <w:r>
        <w:rPr>
          <w:rFonts w:hint="eastAsia" w:ascii="Times New Roman" w:hAnsi="Times New Roman" w:eastAsia="仿宋_GB2312"/>
          <w:snapToGrid w:val="0"/>
          <w:color w:val="auto"/>
          <w:kern w:val="0"/>
          <w:sz w:val="32"/>
          <w:szCs w:val="32"/>
          <w:lang w:val="en-US" w:eastAsia="zh-CN"/>
        </w:rPr>
        <w:t>6条（人事任免1条、公开招选5条）、财政信息2条、年度报告1条、重大决策预公开1条，</w:t>
      </w:r>
      <w:r>
        <w:rPr>
          <w:rFonts w:hint="eastAsia" w:ascii="Times New Roman" w:hAnsi="Times New Roman" w:eastAsia="仿宋_GB2312"/>
          <w:snapToGrid w:val="0"/>
          <w:color w:val="auto"/>
          <w:kern w:val="0"/>
          <w:sz w:val="32"/>
          <w:szCs w:val="32"/>
          <w:lang w:eastAsia="zh-CN"/>
        </w:rPr>
        <w:t>共1</w:t>
      </w:r>
      <w:r>
        <w:rPr>
          <w:rFonts w:hint="eastAsia" w:ascii="Times New Roman" w:hAnsi="Times New Roman" w:eastAsia="仿宋_GB2312"/>
          <w:snapToGrid w:val="0"/>
          <w:color w:val="auto"/>
          <w:kern w:val="0"/>
          <w:sz w:val="32"/>
          <w:szCs w:val="32"/>
          <w:lang w:val="en-US" w:eastAsia="zh-CN"/>
        </w:rPr>
        <w:t>24</w:t>
      </w:r>
      <w:r>
        <w:rPr>
          <w:rFonts w:hint="eastAsia" w:ascii="Times New Roman" w:hAnsi="Times New Roman" w:eastAsia="仿宋_GB2312"/>
          <w:snapToGrid w:val="0"/>
          <w:color w:val="auto"/>
          <w:kern w:val="0"/>
          <w:sz w:val="32"/>
          <w:szCs w:val="32"/>
          <w:lang w:eastAsia="zh-CN"/>
        </w:rPr>
        <w:t>条（政府信息公开平台）。</w:t>
      </w:r>
    </w:p>
    <w:p>
      <w:pPr>
        <w:ind w:firstLine="640" w:firstLineChars="200"/>
        <w:jc w:val="both"/>
        <w:rPr>
          <w:rFonts w:hint="eastAsia" w:ascii="Times New Roman" w:hAnsi="Times New Roman" w:eastAsia="仿宋_GB2312"/>
          <w:snapToGrid w:val="0"/>
          <w:color w:val="auto"/>
          <w:kern w:val="0"/>
          <w:sz w:val="32"/>
          <w:szCs w:val="32"/>
          <w:lang w:eastAsia="zh-CN"/>
        </w:rPr>
      </w:pPr>
      <w:r>
        <w:rPr>
          <w:rFonts w:hint="eastAsia" w:ascii="Times New Roman" w:hAnsi="Times New Roman" w:eastAsia="仿宋_GB2312"/>
          <w:snapToGrid w:val="0"/>
          <w:color w:val="auto"/>
          <w:kern w:val="0"/>
          <w:sz w:val="32"/>
          <w:szCs w:val="32"/>
          <w:lang w:eastAsia="zh-CN"/>
        </w:rPr>
        <w:t>3、回应解读类信息：南部商务区通过领导信箱、在线咨询、公共事务平台及微信等途径公开回应公众关注热点及舆情</w:t>
      </w:r>
      <w:r>
        <w:rPr>
          <w:rFonts w:hint="eastAsia" w:ascii="Times New Roman" w:hAnsi="Times New Roman" w:eastAsia="仿宋_GB2312"/>
          <w:snapToGrid w:val="0"/>
          <w:color w:val="auto"/>
          <w:kern w:val="0"/>
          <w:sz w:val="32"/>
          <w:szCs w:val="32"/>
          <w:lang w:val="en-US" w:eastAsia="zh-CN"/>
        </w:rPr>
        <w:t>35</w:t>
      </w:r>
      <w:r>
        <w:rPr>
          <w:rFonts w:hint="eastAsia" w:ascii="Times New Roman" w:hAnsi="Times New Roman" w:eastAsia="仿宋_GB2312"/>
          <w:snapToGrid w:val="0"/>
          <w:color w:val="auto"/>
          <w:kern w:val="0"/>
          <w:sz w:val="32"/>
          <w:szCs w:val="32"/>
          <w:lang w:eastAsia="zh-CN"/>
        </w:rPr>
        <w:t>件，同比增加</w:t>
      </w:r>
      <w:r>
        <w:rPr>
          <w:rFonts w:hint="eastAsia" w:ascii="Times New Roman" w:hAnsi="Times New Roman" w:eastAsia="仿宋_GB2312"/>
          <w:snapToGrid w:val="0"/>
          <w:color w:val="auto"/>
          <w:kern w:val="0"/>
          <w:sz w:val="32"/>
          <w:szCs w:val="32"/>
          <w:lang w:val="en-US" w:eastAsia="zh-CN"/>
        </w:rPr>
        <w:t>118.8%</w:t>
      </w:r>
      <w:r>
        <w:rPr>
          <w:rFonts w:hint="eastAsia" w:ascii="Times New Roman" w:hAnsi="Times New Roman" w:eastAsia="仿宋_GB2312"/>
          <w:snapToGrid w:val="0"/>
          <w:color w:val="auto"/>
          <w:kern w:val="0"/>
          <w:sz w:val="32"/>
          <w:szCs w:val="32"/>
          <w:lang w:eastAsia="zh-CN"/>
        </w:rPr>
        <w:t>。</w:t>
      </w:r>
    </w:p>
    <w:p>
      <w:pPr>
        <w:ind w:firstLine="640" w:firstLineChars="200"/>
        <w:jc w:val="both"/>
        <w:rPr>
          <w:rFonts w:hint="eastAsia" w:ascii="Times New Roman" w:hAnsi="Times New Roman" w:eastAsia="仿宋_GB2312"/>
          <w:snapToGrid w:val="0"/>
          <w:color w:val="auto"/>
          <w:kern w:val="0"/>
          <w:sz w:val="32"/>
          <w:szCs w:val="32"/>
        </w:rPr>
      </w:pPr>
      <w:r>
        <w:rPr>
          <w:rFonts w:hint="eastAsia" w:ascii="Times New Roman" w:hAnsi="Times New Roman" w:eastAsia="仿宋_GB2312"/>
          <w:snapToGrid w:val="0"/>
          <w:color w:val="auto"/>
          <w:kern w:val="0"/>
          <w:sz w:val="32"/>
          <w:szCs w:val="32"/>
        </w:rPr>
        <w:t>（</w:t>
      </w:r>
      <w:r>
        <w:rPr>
          <w:rFonts w:hint="eastAsia" w:ascii="Times New Roman" w:hAnsi="Times New Roman" w:eastAsia="仿宋_GB2312"/>
          <w:snapToGrid w:val="0"/>
          <w:color w:val="auto"/>
          <w:kern w:val="0"/>
          <w:sz w:val="32"/>
          <w:szCs w:val="32"/>
          <w:lang w:eastAsia="zh-CN"/>
        </w:rPr>
        <w:t>三</w:t>
      </w:r>
      <w:r>
        <w:rPr>
          <w:rFonts w:hint="eastAsia" w:ascii="Times New Roman" w:hAnsi="Times New Roman" w:eastAsia="仿宋_GB2312"/>
          <w:snapToGrid w:val="0"/>
          <w:color w:val="auto"/>
          <w:kern w:val="0"/>
          <w:sz w:val="32"/>
          <w:szCs w:val="32"/>
        </w:rPr>
        <w:t>）主要公开形式</w:t>
      </w:r>
    </w:p>
    <w:p>
      <w:pPr>
        <w:ind w:firstLine="640" w:firstLineChars="200"/>
        <w:jc w:val="both"/>
        <w:rPr>
          <w:rFonts w:ascii="黑体" w:hAnsi="Calibri" w:eastAsia="黑体" w:cs="黑体"/>
          <w:color w:val="auto"/>
          <w:sz w:val="32"/>
          <w:szCs w:val="32"/>
        </w:rPr>
      </w:pPr>
      <w:r>
        <w:rPr>
          <w:rFonts w:hint="eastAsia" w:ascii="Times New Roman" w:hAnsi="Times New Roman" w:eastAsia="仿宋_GB2312"/>
          <w:snapToGrid w:val="0"/>
          <w:color w:val="auto"/>
          <w:kern w:val="0"/>
          <w:sz w:val="32"/>
          <w:szCs w:val="32"/>
        </w:rPr>
        <w:t>信息公开主要依靠南部商务区官方网站、官方微信，《鄞州日报》、《宁波日报》、鄞州电视台等新闻媒体进行。在官方网站上开设政府信息公开专栏，并建立和畅通链接；网站上设置对政府信息公开工作意见的反馈渠道，开设依申请公开的入口；根据本单位实际编制政府信息公开目录、公开指南。</w:t>
      </w:r>
    </w:p>
    <w:p>
      <w:pPr>
        <w:snapToGrid w:val="0"/>
        <w:spacing w:line="324" w:lineRule="auto"/>
        <w:ind w:firstLine="640" w:firstLineChars="200"/>
        <w:jc w:val="both"/>
        <w:rPr>
          <w:rFonts w:hint="eastAsia" w:ascii="黑体" w:hAnsi="Calibri" w:eastAsia="黑体" w:cs="黑体"/>
          <w:color w:val="auto"/>
          <w:sz w:val="32"/>
          <w:szCs w:val="32"/>
        </w:rPr>
      </w:pPr>
    </w:p>
    <w:tbl>
      <w:tblPr>
        <w:tblStyle w:val="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280"/>
        <w:gridCol w:w="2083"/>
        <w:gridCol w:w="1265"/>
        <w:gridCol w:w="1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5" w:hRule="atLeast"/>
          <w:jc w:val="center"/>
        </w:trPr>
        <w:tc>
          <w:tcPr>
            <w:tcW w:w="8522" w:type="dxa"/>
            <w:gridSpan w:val="4"/>
            <w:shd w:val="clear" w:color="auto" w:fill="C6D9F1"/>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2" w:hRule="atLeast"/>
          <w:jc w:val="center"/>
        </w:trPr>
        <w:tc>
          <w:tcPr>
            <w:tcW w:w="3280" w:type="dxa"/>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信息内容</w:t>
            </w:r>
          </w:p>
        </w:tc>
        <w:tc>
          <w:tcPr>
            <w:tcW w:w="2083"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本年新制作数量</w:t>
            </w:r>
          </w:p>
        </w:tc>
        <w:tc>
          <w:tcPr>
            <w:tcW w:w="1265"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本年新公开数量</w:t>
            </w:r>
          </w:p>
        </w:tc>
        <w:tc>
          <w:tcPr>
            <w:tcW w:w="1894"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3" w:hRule="atLeast"/>
          <w:jc w:val="center"/>
        </w:trPr>
        <w:tc>
          <w:tcPr>
            <w:tcW w:w="3280" w:type="dxa"/>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规章</w:t>
            </w:r>
          </w:p>
        </w:tc>
        <w:tc>
          <w:tcPr>
            <w:tcW w:w="2083"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1265" w:type="dxa"/>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1894"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1" w:hRule="atLeast"/>
          <w:jc w:val="center"/>
        </w:trPr>
        <w:tc>
          <w:tcPr>
            <w:tcW w:w="3280" w:type="dxa"/>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规范性文件</w:t>
            </w:r>
          </w:p>
        </w:tc>
        <w:tc>
          <w:tcPr>
            <w:tcW w:w="2083"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1265" w:type="dxa"/>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1894"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0" w:hRule="atLeast"/>
          <w:jc w:val="center"/>
        </w:trPr>
        <w:tc>
          <w:tcPr>
            <w:tcW w:w="8522" w:type="dxa"/>
            <w:gridSpan w:val="4"/>
            <w:shd w:val="clear" w:color="auto" w:fill="C6D9F1"/>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jc w:val="center"/>
        </w:trPr>
        <w:tc>
          <w:tcPr>
            <w:tcW w:w="3280" w:type="dxa"/>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信息内容</w:t>
            </w:r>
          </w:p>
        </w:tc>
        <w:tc>
          <w:tcPr>
            <w:tcW w:w="2083"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上一年项目数量</w:t>
            </w:r>
          </w:p>
        </w:tc>
        <w:tc>
          <w:tcPr>
            <w:tcW w:w="1265"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本年增/减</w:t>
            </w:r>
          </w:p>
        </w:tc>
        <w:tc>
          <w:tcPr>
            <w:tcW w:w="1894"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8" w:hRule="atLeast"/>
          <w:jc w:val="center"/>
        </w:trPr>
        <w:tc>
          <w:tcPr>
            <w:tcW w:w="3280" w:type="dxa"/>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行政许可</w:t>
            </w:r>
          </w:p>
        </w:tc>
        <w:tc>
          <w:tcPr>
            <w:tcW w:w="2083"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1265"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1894"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0" w:hRule="atLeast"/>
          <w:jc w:val="center"/>
        </w:trPr>
        <w:tc>
          <w:tcPr>
            <w:tcW w:w="3280" w:type="dxa"/>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其他对外管理服务事项</w:t>
            </w:r>
          </w:p>
        </w:tc>
        <w:tc>
          <w:tcPr>
            <w:tcW w:w="2083"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1265"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1894"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6" w:hRule="atLeast"/>
          <w:jc w:val="center"/>
        </w:trPr>
        <w:tc>
          <w:tcPr>
            <w:tcW w:w="8522" w:type="dxa"/>
            <w:gridSpan w:val="4"/>
            <w:shd w:val="clear" w:color="auto" w:fill="C6D9F1"/>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4" w:hRule="atLeast"/>
          <w:jc w:val="center"/>
        </w:trPr>
        <w:tc>
          <w:tcPr>
            <w:tcW w:w="3280" w:type="dxa"/>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信息内容</w:t>
            </w:r>
          </w:p>
        </w:tc>
        <w:tc>
          <w:tcPr>
            <w:tcW w:w="2083"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上一年项目数量</w:t>
            </w:r>
          </w:p>
        </w:tc>
        <w:tc>
          <w:tcPr>
            <w:tcW w:w="1265"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本年增/减</w:t>
            </w:r>
          </w:p>
        </w:tc>
        <w:tc>
          <w:tcPr>
            <w:tcW w:w="1894"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 w:hRule="atLeast"/>
          <w:jc w:val="center"/>
        </w:trPr>
        <w:tc>
          <w:tcPr>
            <w:tcW w:w="3280" w:type="dxa"/>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行政处罚</w:t>
            </w:r>
          </w:p>
        </w:tc>
        <w:tc>
          <w:tcPr>
            <w:tcW w:w="2083"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1265"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1894"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3280" w:type="dxa"/>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行政强制</w:t>
            </w:r>
          </w:p>
        </w:tc>
        <w:tc>
          <w:tcPr>
            <w:tcW w:w="2083"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1265"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1894"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4" w:hRule="atLeast"/>
          <w:jc w:val="center"/>
        </w:trPr>
        <w:tc>
          <w:tcPr>
            <w:tcW w:w="8522" w:type="dxa"/>
            <w:gridSpan w:val="4"/>
            <w:shd w:val="clear" w:color="auto" w:fill="C6D9F1"/>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3280" w:type="dxa"/>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信息内容</w:t>
            </w:r>
          </w:p>
        </w:tc>
        <w:tc>
          <w:tcPr>
            <w:tcW w:w="2083"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上一年项目数量</w:t>
            </w:r>
          </w:p>
        </w:tc>
        <w:tc>
          <w:tcPr>
            <w:tcW w:w="3159" w:type="dxa"/>
            <w:gridSpan w:val="2"/>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1" w:hRule="atLeast"/>
          <w:jc w:val="center"/>
        </w:trPr>
        <w:tc>
          <w:tcPr>
            <w:tcW w:w="3280" w:type="dxa"/>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行政事业性收费</w:t>
            </w:r>
          </w:p>
        </w:tc>
        <w:tc>
          <w:tcPr>
            <w:tcW w:w="2083"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3159" w:type="dxa"/>
            <w:gridSpan w:val="2"/>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8522" w:type="dxa"/>
            <w:gridSpan w:val="4"/>
            <w:shd w:val="clear" w:color="auto" w:fill="C6D9F1"/>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jc w:val="center"/>
        </w:trPr>
        <w:tc>
          <w:tcPr>
            <w:tcW w:w="3280" w:type="dxa"/>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信息内容</w:t>
            </w:r>
          </w:p>
        </w:tc>
        <w:tc>
          <w:tcPr>
            <w:tcW w:w="2083"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采购项目数量</w:t>
            </w:r>
          </w:p>
        </w:tc>
        <w:tc>
          <w:tcPr>
            <w:tcW w:w="3159" w:type="dxa"/>
            <w:gridSpan w:val="2"/>
            <w:tcMar>
              <w:left w:w="108" w:type="dxa"/>
              <w:right w:w="108" w:type="dxa"/>
            </w:tcMar>
            <w:vAlign w:val="center"/>
          </w:tcPr>
          <w:p>
            <w:pPr>
              <w:ind w:firstLine="480" w:firstLineChars="200"/>
              <w:jc w:val="both"/>
              <w:rPr>
                <w:rFonts w:hint="eastAsia" w:ascii="Times New Roman" w:hAnsi="Times New Roman" w:eastAsia="仿宋_GB2312"/>
                <w:snapToGrid w:val="0"/>
                <w:color w:val="auto"/>
                <w:kern w:val="0"/>
                <w:sz w:val="24"/>
                <w:lang w:eastAsia="zh-CN"/>
              </w:rPr>
            </w:pPr>
            <w:r>
              <w:rPr>
                <w:rFonts w:hint="eastAsia" w:ascii="Times New Roman" w:hAnsi="Times New Roman" w:eastAsia="仿宋_GB2312"/>
                <w:snapToGrid w:val="0"/>
                <w:color w:val="auto"/>
                <w:kern w:val="0"/>
                <w:sz w:val="24"/>
              </w:rPr>
              <w:t>采购总金额</w:t>
            </w:r>
            <w:r>
              <w:rPr>
                <w:rFonts w:hint="eastAsia" w:ascii="Times New Roman" w:hAnsi="Times New Roman" w:eastAsia="仿宋_GB2312"/>
                <w:snapToGrid w:val="0"/>
                <w:color w:val="auto"/>
                <w:kern w:val="0"/>
                <w:sz w:val="24"/>
                <w:lang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3280" w:type="dxa"/>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政府集中采购</w:t>
            </w:r>
          </w:p>
        </w:tc>
        <w:tc>
          <w:tcPr>
            <w:tcW w:w="2083"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12</w:t>
            </w:r>
          </w:p>
        </w:tc>
        <w:tc>
          <w:tcPr>
            <w:tcW w:w="3159" w:type="dxa"/>
            <w:gridSpan w:val="2"/>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cs="Times New Roman"/>
                <w:snapToGrid w:val="0"/>
                <w:color w:val="auto"/>
                <w:kern w:val="0"/>
                <w:sz w:val="24"/>
              </w:rPr>
              <w:t>9263341.47</w:t>
            </w:r>
          </w:p>
        </w:tc>
      </w:tr>
    </w:tbl>
    <w:p>
      <w:pPr>
        <w:jc w:val="both"/>
        <w:rPr>
          <w:rFonts w:ascii="Times New Roman" w:hAnsi="Times New Roman" w:eastAsia="仿宋_GB2312"/>
          <w:snapToGrid w:val="0"/>
          <w:color w:val="auto"/>
          <w:kern w:val="0"/>
          <w:sz w:val="24"/>
        </w:rPr>
      </w:pPr>
    </w:p>
    <w:p>
      <w:pPr>
        <w:numPr>
          <w:ilvl w:val="0"/>
          <w:numId w:val="2"/>
        </w:numPr>
        <w:snapToGrid w:val="0"/>
        <w:spacing w:line="324" w:lineRule="auto"/>
        <w:ind w:firstLine="640" w:firstLineChars="200"/>
        <w:jc w:val="both"/>
        <w:rPr>
          <w:rFonts w:hint="eastAsia" w:ascii="黑体" w:hAnsi="Calibri" w:eastAsia="黑体" w:cs="黑体"/>
          <w:color w:val="auto"/>
          <w:sz w:val="32"/>
          <w:szCs w:val="32"/>
        </w:rPr>
      </w:pPr>
      <w:r>
        <w:rPr>
          <w:rFonts w:hint="eastAsia" w:ascii="黑体" w:hAnsi="Calibri" w:eastAsia="黑体" w:cs="黑体"/>
          <w:color w:val="auto"/>
          <w:sz w:val="32"/>
          <w:szCs w:val="32"/>
        </w:rPr>
        <w:t>收到和处理政府信息公开申请情况</w:t>
      </w:r>
    </w:p>
    <w:p>
      <w:pPr>
        <w:spacing w:line="580" w:lineRule="exact"/>
        <w:ind w:firstLine="640" w:firstLineChars="200"/>
        <w:jc w:val="both"/>
        <w:rPr>
          <w:rFonts w:hint="eastAsia" w:ascii="Times New Roman" w:hAnsi="Times New Roman" w:eastAsia="仿宋_GB2312"/>
          <w:snapToGrid w:val="0"/>
          <w:color w:val="auto"/>
          <w:kern w:val="0"/>
          <w:sz w:val="32"/>
          <w:szCs w:val="32"/>
        </w:rPr>
      </w:pPr>
      <w:r>
        <w:rPr>
          <w:rFonts w:hint="eastAsia" w:ascii="Times New Roman" w:hAnsi="Times New Roman" w:eastAsia="仿宋_GB2312"/>
          <w:snapToGrid w:val="0"/>
          <w:color w:val="auto"/>
          <w:kern w:val="0"/>
          <w:sz w:val="32"/>
          <w:szCs w:val="32"/>
        </w:rPr>
        <w:t>本年度未收到过关于要求政府信息公开的申请。</w:t>
      </w:r>
    </w:p>
    <w:p>
      <w:pPr>
        <w:spacing w:line="580" w:lineRule="exact"/>
        <w:ind w:firstLine="640" w:firstLineChars="200"/>
        <w:jc w:val="both"/>
        <w:rPr>
          <w:rFonts w:hint="eastAsia" w:ascii="Times New Roman" w:hAnsi="Times New Roman" w:eastAsia="仿宋_GB2312"/>
          <w:snapToGrid w:val="0"/>
          <w:color w:val="auto"/>
          <w:kern w:val="0"/>
          <w:sz w:val="32"/>
          <w:szCs w:val="32"/>
        </w:rPr>
      </w:pPr>
    </w:p>
    <w:tbl>
      <w:tblPr>
        <w:tblStyle w:val="5"/>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86"/>
        <w:gridCol w:w="1095"/>
        <w:gridCol w:w="1362"/>
        <w:gridCol w:w="696"/>
        <w:gridCol w:w="696"/>
        <w:gridCol w:w="696"/>
        <w:gridCol w:w="696"/>
        <w:gridCol w:w="696"/>
        <w:gridCol w:w="698"/>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643" w:type="dxa"/>
            <w:gridSpan w:val="3"/>
            <w:vMerge w:val="restart"/>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（本列数据的勾稽关系为：第一项加第二项之和，等于第三项加第四项之和）</w:t>
            </w:r>
          </w:p>
        </w:tc>
        <w:tc>
          <w:tcPr>
            <w:tcW w:w="4876" w:type="dxa"/>
            <w:gridSpan w:val="7"/>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643" w:type="dxa"/>
            <w:gridSpan w:val="3"/>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696" w:type="dxa"/>
            <w:vMerge w:val="restart"/>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自然人</w:t>
            </w:r>
          </w:p>
        </w:tc>
        <w:tc>
          <w:tcPr>
            <w:tcW w:w="3482" w:type="dxa"/>
            <w:gridSpan w:val="5"/>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法人或其他组织</w:t>
            </w:r>
          </w:p>
        </w:tc>
        <w:tc>
          <w:tcPr>
            <w:tcW w:w="698" w:type="dxa"/>
            <w:vMerge w:val="restart"/>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643" w:type="dxa"/>
            <w:gridSpan w:val="3"/>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69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696"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商业企业</w:t>
            </w:r>
          </w:p>
        </w:tc>
        <w:tc>
          <w:tcPr>
            <w:tcW w:w="696"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科研机构</w:t>
            </w:r>
          </w:p>
        </w:tc>
        <w:tc>
          <w:tcPr>
            <w:tcW w:w="696"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社会公益组织</w:t>
            </w:r>
          </w:p>
        </w:tc>
        <w:tc>
          <w:tcPr>
            <w:tcW w:w="696"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法律服务机构</w:t>
            </w:r>
          </w:p>
        </w:tc>
        <w:tc>
          <w:tcPr>
            <w:tcW w:w="698"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其他</w:t>
            </w:r>
          </w:p>
        </w:tc>
        <w:tc>
          <w:tcPr>
            <w:tcW w:w="698"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643" w:type="dxa"/>
            <w:gridSpan w:val="3"/>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一、本年新收政府信息公开申请数量</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643" w:type="dxa"/>
            <w:gridSpan w:val="3"/>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二、上年结转政府信息公开申请数量</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restart"/>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三、本年度办理结果</w:t>
            </w:r>
          </w:p>
        </w:tc>
        <w:tc>
          <w:tcPr>
            <w:tcW w:w="2457" w:type="dxa"/>
            <w:gridSpan w:val="2"/>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（一）予以公开</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2457" w:type="dxa"/>
            <w:gridSpan w:val="2"/>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（二）部分公开（区分处理的，只计这一情形，不计其他情形）</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095" w:type="dxa"/>
            <w:vMerge w:val="restart"/>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（三）不予公开</w:t>
            </w:r>
          </w:p>
        </w:tc>
        <w:tc>
          <w:tcPr>
            <w:tcW w:w="1362"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1.属于国家秘密</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095"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362"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2.其他法律行政法规禁止公开</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095"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362"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3.危及“三安全一稳定”</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095"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362"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4.保护第三方合法权益</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095"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362"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5.属于三类内部事务信息</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095"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362"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6.属于四类过程性信息</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095"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362"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7.属于行政执法案卷</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095"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362"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8.属于行政查询事项</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095" w:type="dxa"/>
            <w:vMerge w:val="restart"/>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（四）无法提供</w:t>
            </w:r>
          </w:p>
        </w:tc>
        <w:tc>
          <w:tcPr>
            <w:tcW w:w="1362"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1.本机关不掌握相关政府信息</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095"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362"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2.没有现成信息需要另行制作</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095"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362"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3.补正后申请内容仍不明确</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095" w:type="dxa"/>
            <w:vMerge w:val="restart"/>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（五）不予处理</w:t>
            </w:r>
          </w:p>
        </w:tc>
        <w:tc>
          <w:tcPr>
            <w:tcW w:w="1362"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1.信访举报投诉类申请</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095"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362"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2.重复申请</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095"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362"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3.要求提供公开出版物</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095"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362"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4.无正当理由大量反复申请</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095"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1362"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5.要求行政机关确认或重新出具已获取信息</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2457" w:type="dxa"/>
            <w:gridSpan w:val="2"/>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（六）其他处理</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hint="eastAsia"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8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2457" w:type="dxa"/>
            <w:gridSpan w:val="2"/>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（七）总计</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643" w:type="dxa"/>
            <w:gridSpan w:val="3"/>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四、结转下年度继续办理</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98"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bl>
    <w:p>
      <w:pPr>
        <w:ind w:firstLine="480" w:firstLineChars="200"/>
        <w:jc w:val="both"/>
        <w:rPr>
          <w:rFonts w:ascii="Times New Roman" w:hAnsi="Times New Roman" w:eastAsia="仿宋_GB2312"/>
          <w:snapToGrid w:val="0"/>
          <w:color w:val="auto"/>
          <w:kern w:val="0"/>
          <w:sz w:val="24"/>
        </w:rPr>
      </w:pPr>
    </w:p>
    <w:p>
      <w:pPr>
        <w:snapToGrid w:val="0"/>
        <w:spacing w:line="324" w:lineRule="auto"/>
        <w:ind w:firstLine="640" w:firstLineChars="200"/>
        <w:jc w:val="both"/>
        <w:rPr>
          <w:rFonts w:ascii="黑体" w:hAnsi="Calibri" w:eastAsia="黑体" w:cs="黑体"/>
          <w:color w:val="auto"/>
          <w:sz w:val="32"/>
          <w:szCs w:val="32"/>
        </w:rPr>
      </w:pPr>
      <w:r>
        <w:rPr>
          <w:rFonts w:hint="eastAsia" w:ascii="黑体" w:hAnsi="Calibri" w:eastAsia="黑体" w:cs="黑体"/>
          <w:color w:val="auto"/>
          <w:sz w:val="32"/>
          <w:szCs w:val="32"/>
        </w:rPr>
        <w:t>四、政府信息公开的收费及减免情况</w:t>
      </w:r>
    </w:p>
    <w:p>
      <w:pPr>
        <w:spacing w:line="580" w:lineRule="exact"/>
        <w:ind w:firstLine="640" w:firstLineChars="200"/>
        <w:jc w:val="both"/>
        <w:rPr>
          <w:rFonts w:ascii="Times New Roman" w:hAnsi="Times New Roman" w:eastAsia="仿宋_GB2312"/>
          <w:snapToGrid w:val="0"/>
          <w:color w:val="auto"/>
          <w:kern w:val="0"/>
          <w:sz w:val="32"/>
          <w:szCs w:val="32"/>
        </w:rPr>
      </w:pPr>
      <w:r>
        <w:rPr>
          <w:rFonts w:hint="eastAsia" w:ascii="Times New Roman" w:hAnsi="Times New Roman" w:eastAsia="仿宋_GB2312"/>
          <w:snapToGrid w:val="0"/>
          <w:color w:val="auto"/>
          <w:kern w:val="0"/>
          <w:sz w:val="32"/>
          <w:szCs w:val="32"/>
        </w:rPr>
        <w:t>本年度未发生政府信息公开的收费及减免情况。</w:t>
      </w:r>
    </w:p>
    <w:p>
      <w:pPr>
        <w:snapToGrid w:val="0"/>
        <w:spacing w:line="324" w:lineRule="auto"/>
        <w:ind w:firstLine="640" w:firstLineChars="200"/>
        <w:jc w:val="both"/>
        <w:rPr>
          <w:rFonts w:ascii="黑体" w:hAnsi="Calibri" w:eastAsia="黑体" w:cs="黑体"/>
          <w:color w:val="auto"/>
          <w:sz w:val="32"/>
          <w:szCs w:val="32"/>
        </w:rPr>
      </w:pPr>
    </w:p>
    <w:p>
      <w:pPr>
        <w:snapToGrid w:val="0"/>
        <w:spacing w:line="324" w:lineRule="auto"/>
        <w:ind w:firstLine="640" w:firstLineChars="200"/>
        <w:jc w:val="both"/>
        <w:rPr>
          <w:rFonts w:ascii="黑体" w:hAnsi="Calibri" w:eastAsia="黑体" w:cs="黑体"/>
          <w:color w:val="auto"/>
          <w:sz w:val="32"/>
          <w:szCs w:val="32"/>
        </w:rPr>
      </w:pPr>
      <w:r>
        <w:rPr>
          <w:rFonts w:hint="eastAsia" w:ascii="黑体" w:hAnsi="Calibri" w:eastAsia="黑体" w:cs="黑体"/>
          <w:color w:val="auto"/>
          <w:sz w:val="32"/>
          <w:szCs w:val="32"/>
        </w:rPr>
        <w:t>五、</w:t>
      </w:r>
      <w:bookmarkStart w:id="2" w:name="_Hlk28640703"/>
      <w:r>
        <w:rPr>
          <w:rFonts w:hint="eastAsia" w:ascii="黑体" w:hAnsi="Calibri" w:eastAsia="黑体" w:cs="黑体"/>
          <w:color w:val="auto"/>
          <w:sz w:val="32"/>
          <w:szCs w:val="32"/>
        </w:rPr>
        <w:t>政府信息公开行政复议、行政诉讼情况</w:t>
      </w:r>
      <w:bookmarkEnd w:id="2"/>
    </w:p>
    <w:p>
      <w:pPr>
        <w:ind w:firstLine="640" w:firstLineChars="200"/>
        <w:jc w:val="both"/>
        <w:rPr>
          <w:rFonts w:ascii="Times New Roman" w:hAnsi="Times New Roman" w:eastAsia="仿宋_GB2312"/>
          <w:snapToGrid w:val="0"/>
          <w:color w:val="auto"/>
          <w:kern w:val="0"/>
          <w:sz w:val="32"/>
          <w:szCs w:val="32"/>
        </w:rPr>
      </w:pPr>
      <w:r>
        <w:rPr>
          <w:rFonts w:hint="eastAsia" w:ascii="Times New Roman" w:hAnsi="Times New Roman" w:eastAsia="仿宋_GB2312"/>
          <w:snapToGrid w:val="0"/>
          <w:color w:val="auto"/>
          <w:kern w:val="0"/>
          <w:sz w:val="32"/>
          <w:szCs w:val="32"/>
        </w:rPr>
        <w:t>本年度</w:t>
      </w:r>
      <w:r>
        <w:rPr>
          <w:rFonts w:hint="eastAsia" w:ascii="Times New Roman" w:hAnsi="Times New Roman" w:eastAsia="仿宋_GB2312"/>
          <w:snapToGrid w:val="0"/>
          <w:color w:val="auto"/>
          <w:kern w:val="0"/>
          <w:sz w:val="32"/>
          <w:szCs w:val="32"/>
          <w:lang w:eastAsia="zh-CN"/>
        </w:rPr>
        <w:t>未发生</w:t>
      </w:r>
      <w:r>
        <w:rPr>
          <w:rFonts w:hint="eastAsia" w:ascii="Times New Roman" w:hAnsi="Times New Roman" w:eastAsia="仿宋_GB2312"/>
          <w:snapToGrid w:val="0"/>
          <w:color w:val="auto"/>
          <w:kern w:val="0"/>
          <w:sz w:val="32"/>
          <w:szCs w:val="32"/>
        </w:rPr>
        <w:t>政府信息公开行政复议、行政诉讼情况。</w:t>
      </w:r>
    </w:p>
    <w:p>
      <w:pPr>
        <w:ind w:firstLine="480" w:firstLineChars="200"/>
        <w:jc w:val="both"/>
        <w:rPr>
          <w:rFonts w:ascii="Times New Roman" w:hAnsi="Times New Roman" w:eastAsia="仿宋_GB2312"/>
          <w:snapToGrid w:val="0"/>
          <w:color w:val="auto"/>
          <w:kern w:val="0"/>
          <w:sz w:val="24"/>
        </w:rPr>
      </w:pPr>
    </w:p>
    <w:tbl>
      <w:tblPr>
        <w:tblStyle w:val="5"/>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91"/>
        <w:gridCol w:w="524"/>
        <w:gridCol w:w="555"/>
        <w:gridCol w:w="556"/>
        <w:gridCol w:w="508"/>
        <w:gridCol w:w="527"/>
        <w:gridCol w:w="515"/>
        <w:gridCol w:w="595"/>
        <w:gridCol w:w="498"/>
        <w:gridCol w:w="564"/>
        <w:gridCol w:w="607"/>
        <w:gridCol w:w="595"/>
        <w:gridCol w:w="498"/>
        <w:gridCol w:w="567"/>
        <w:gridCol w:w="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834" w:type="dxa"/>
            <w:gridSpan w:val="5"/>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行政复议</w:t>
            </w:r>
          </w:p>
        </w:tc>
        <w:tc>
          <w:tcPr>
            <w:tcW w:w="5685" w:type="dxa"/>
            <w:gridSpan w:val="10"/>
            <w:tcMar>
              <w:left w:w="108" w:type="dxa"/>
              <w:right w:w="108" w:type="dxa"/>
            </w:tcMar>
            <w:vAlign w:val="center"/>
          </w:tcPr>
          <w:p>
            <w:pPr>
              <w:ind w:firstLine="3840" w:firstLineChars="16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1" w:type="dxa"/>
            <w:vMerge w:val="restart"/>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结果</w:t>
            </w:r>
          </w:p>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维持</w:t>
            </w:r>
          </w:p>
        </w:tc>
        <w:tc>
          <w:tcPr>
            <w:tcW w:w="524" w:type="dxa"/>
            <w:vMerge w:val="restart"/>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结果纠正</w:t>
            </w:r>
          </w:p>
        </w:tc>
        <w:tc>
          <w:tcPr>
            <w:tcW w:w="555" w:type="dxa"/>
            <w:vMerge w:val="restart"/>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其他结果</w:t>
            </w:r>
          </w:p>
        </w:tc>
        <w:tc>
          <w:tcPr>
            <w:tcW w:w="556" w:type="dxa"/>
            <w:vMerge w:val="restart"/>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尚未审结</w:t>
            </w:r>
          </w:p>
        </w:tc>
        <w:tc>
          <w:tcPr>
            <w:tcW w:w="508" w:type="dxa"/>
            <w:vMerge w:val="restart"/>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总计</w:t>
            </w:r>
          </w:p>
        </w:tc>
        <w:tc>
          <w:tcPr>
            <w:tcW w:w="2699" w:type="dxa"/>
            <w:gridSpan w:val="5"/>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未经复议直接起诉</w:t>
            </w:r>
          </w:p>
        </w:tc>
        <w:tc>
          <w:tcPr>
            <w:tcW w:w="2986" w:type="dxa"/>
            <w:gridSpan w:val="5"/>
            <w:tcMar>
              <w:left w:w="108" w:type="dxa"/>
              <w:right w:w="108" w:type="dxa"/>
            </w:tcMar>
            <w:vAlign w:val="center"/>
          </w:tcPr>
          <w:p>
            <w:pPr>
              <w:ind w:firstLine="720" w:firstLineChars="300"/>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1"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524"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555"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556"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508" w:type="dxa"/>
            <w:vMerge w:val="continue"/>
            <w:tcMar>
              <w:left w:w="108" w:type="dxa"/>
              <w:right w:w="108" w:type="dxa"/>
            </w:tcMar>
            <w:vAlign w:val="center"/>
          </w:tcPr>
          <w:p>
            <w:pPr>
              <w:ind w:firstLine="480" w:firstLineChars="200"/>
              <w:jc w:val="both"/>
              <w:rPr>
                <w:rFonts w:ascii="Times New Roman" w:hAnsi="Times New Roman" w:eastAsia="仿宋_GB2312"/>
                <w:snapToGrid w:val="0"/>
                <w:color w:val="auto"/>
                <w:kern w:val="0"/>
                <w:sz w:val="24"/>
              </w:rPr>
            </w:pPr>
          </w:p>
        </w:tc>
        <w:tc>
          <w:tcPr>
            <w:tcW w:w="527"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结果维持</w:t>
            </w:r>
          </w:p>
        </w:tc>
        <w:tc>
          <w:tcPr>
            <w:tcW w:w="515"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结果纠正</w:t>
            </w:r>
          </w:p>
        </w:tc>
        <w:tc>
          <w:tcPr>
            <w:tcW w:w="595"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其他结 果</w:t>
            </w:r>
          </w:p>
        </w:tc>
        <w:tc>
          <w:tcPr>
            <w:tcW w:w="498"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尚未审结</w:t>
            </w:r>
          </w:p>
        </w:tc>
        <w:tc>
          <w:tcPr>
            <w:tcW w:w="564"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总计</w:t>
            </w:r>
          </w:p>
        </w:tc>
        <w:tc>
          <w:tcPr>
            <w:tcW w:w="607"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结果维 持</w:t>
            </w:r>
          </w:p>
        </w:tc>
        <w:tc>
          <w:tcPr>
            <w:tcW w:w="595"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结果纠 正</w:t>
            </w:r>
          </w:p>
        </w:tc>
        <w:tc>
          <w:tcPr>
            <w:tcW w:w="498"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其他结果</w:t>
            </w:r>
          </w:p>
        </w:tc>
        <w:tc>
          <w:tcPr>
            <w:tcW w:w="567"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尚未审结</w:t>
            </w:r>
          </w:p>
        </w:tc>
        <w:tc>
          <w:tcPr>
            <w:tcW w:w="719" w:type="dxa"/>
            <w:tcMar>
              <w:left w:w="108" w:type="dxa"/>
              <w:right w:w="108" w:type="dxa"/>
            </w:tcMar>
            <w:vAlign w:val="center"/>
          </w:tcPr>
          <w:p>
            <w:pPr>
              <w:jc w:val="both"/>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1"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524"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555"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556"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508"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527"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515"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595"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498"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564"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607"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595"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498"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567" w:type="dxa"/>
            <w:tcMar>
              <w:left w:w="108" w:type="dxa"/>
              <w:right w:w="108" w:type="dxa"/>
            </w:tcMar>
            <w:vAlign w:val="center"/>
          </w:tcPr>
          <w:p>
            <w:pPr>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c>
          <w:tcPr>
            <w:tcW w:w="719" w:type="dxa"/>
            <w:tcMar>
              <w:left w:w="108" w:type="dxa"/>
              <w:right w:w="108" w:type="dxa"/>
            </w:tcMar>
            <w:vAlign w:val="center"/>
          </w:tcPr>
          <w:p>
            <w:pPr>
              <w:tabs>
                <w:tab w:val="center" w:pos="193"/>
              </w:tabs>
              <w:jc w:val="center"/>
              <w:rPr>
                <w:rFonts w:ascii="Times New Roman" w:hAnsi="Times New Roman" w:eastAsia="仿宋_GB2312"/>
                <w:snapToGrid w:val="0"/>
                <w:color w:val="auto"/>
                <w:kern w:val="0"/>
                <w:sz w:val="24"/>
              </w:rPr>
            </w:pPr>
            <w:r>
              <w:rPr>
                <w:rFonts w:hint="eastAsia" w:ascii="Times New Roman" w:hAnsi="Times New Roman" w:eastAsia="仿宋_GB2312"/>
                <w:snapToGrid w:val="0"/>
                <w:color w:val="auto"/>
                <w:kern w:val="0"/>
                <w:sz w:val="24"/>
              </w:rPr>
              <w:t>0</w:t>
            </w:r>
          </w:p>
        </w:tc>
      </w:tr>
    </w:tbl>
    <w:p>
      <w:pPr>
        <w:ind w:firstLine="480" w:firstLineChars="200"/>
        <w:jc w:val="both"/>
        <w:rPr>
          <w:rFonts w:ascii="Times New Roman" w:hAnsi="Times New Roman" w:eastAsia="仿宋_GB2312"/>
          <w:snapToGrid w:val="0"/>
          <w:color w:val="auto"/>
          <w:kern w:val="0"/>
          <w:sz w:val="24"/>
        </w:rPr>
      </w:pPr>
    </w:p>
    <w:p>
      <w:pPr>
        <w:snapToGrid w:val="0"/>
        <w:spacing w:line="324" w:lineRule="auto"/>
        <w:ind w:firstLine="640" w:firstLineChars="200"/>
        <w:jc w:val="both"/>
        <w:rPr>
          <w:rFonts w:ascii="Times New Roman" w:hAnsi="Times New Roman" w:eastAsia="仿宋_GB2312"/>
          <w:snapToGrid w:val="0"/>
          <w:color w:val="auto"/>
          <w:kern w:val="0"/>
          <w:sz w:val="24"/>
        </w:rPr>
      </w:pPr>
      <w:r>
        <w:rPr>
          <w:rFonts w:hint="eastAsia" w:ascii="黑体" w:hAnsi="Calibri" w:eastAsia="黑体" w:cs="黑体"/>
          <w:color w:val="auto"/>
          <w:sz w:val="32"/>
          <w:szCs w:val="32"/>
        </w:rPr>
        <w:t>六、存在的主要问题及改进情况</w:t>
      </w:r>
    </w:p>
    <w:p>
      <w:pPr>
        <w:ind w:firstLine="640" w:firstLineChars="200"/>
        <w:jc w:val="both"/>
        <w:rPr>
          <w:rFonts w:ascii="Times New Roman" w:hAnsi="Times New Roman" w:eastAsia="仿宋_GB2312"/>
          <w:snapToGrid w:val="0"/>
          <w:color w:val="auto"/>
          <w:kern w:val="0"/>
          <w:sz w:val="32"/>
          <w:szCs w:val="32"/>
        </w:rPr>
      </w:pPr>
      <w:r>
        <w:rPr>
          <w:rFonts w:hint="eastAsia" w:ascii="Times New Roman" w:hAnsi="Times New Roman" w:eastAsia="仿宋_GB2312"/>
          <w:snapToGrid w:val="0"/>
          <w:color w:val="auto"/>
          <w:kern w:val="0"/>
          <w:sz w:val="32"/>
          <w:szCs w:val="32"/>
        </w:rPr>
        <w:t>2019年，宁波南部商务区管委会政府信息公开工作取得一定成效，但也存在一些不足之处，主要包括：信息公开的时效性有待进一步提高；</w:t>
      </w:r>
      <w:bookmarkStart w:id="3" w:name="_Hlk28641063"/>
      <w:r>
        <w:rPr>
          <w:rFonts w:hint="eastAsia" w:ascii="Times New Roman" w:hAnsi="Times New Roman" w:eastAsia="仿宋_GB2312"/>
          <w:snapToGrid w:val="0"/>
          <w:color w:val="auto"/>
          <w:kern w:val="0"/>
          <w:sz w:val="32"/>
          <w:szCs w:val="32"/>
        </w:rPr>
        <w:t>信息公开</w:t>
      </w:r>
      <w:bookmarkEnd w:id="3"/>
      <w:r>
        <w:rPr>
          <w:rFonts w:hint="eastAsia" w:ascii="Times New Roman" w:hAnsi="Times New Roman" w:eastAsia="仿宋_GB2312"/>
          <w:snapToGrid w:val="0"/>
          <w:color w:val="auto"/>
          <w:kern w:val="0"/>
          <w:sz w:val="32"/>
          <w:szCs w:val="32"/>
        </w:rPr>
        <w:t>的队伍建设有待进一步加强；信息公开宣传力度和深度有待进一步提升。结合实际，2020年将重点做好以下几方面工作：</w:t>
      </w:r>
    </w:p>
    <w:p>
      <w:pPr>
        <w:ind w:firstLine="640" w:firstLineChars="200"/>
        <w:jc w:val="both"/>
        <w:rPr>
          <w:rFonts w:hint="eastAsia" w:ascii="Times New Roman" w:hAnsi="Times New Roman" w:eastAsia="仿宋_GB2312" w:cs="Times New Roman"/>
          <w:snapToGrid w:val="0"/>
          <w:color w:val="auto"/>
          <w:kern w:val="0"/>
          <w:sz w:val="32"/>
          <w:szCs w:val="32"/>
          <w:lang w:eastAsia="zh-CN"/>
        </w:rPr>
      </w:pPr>
      <w:r>
        <w:rPr>
          <w:rFonts w:hint="eastAsia" w:ascii="Times New Roman" w:hAnsi="Times New Roman" w:eastAsia="仿宋_GB2312" w:cs="Times New Roman"/>
          <w:snapToGrid w:val="0"/>
          <w:color w:val="auto"/>
          <w:kern w:val="0"/>
          <w:sz w:val="32"/>
          <w:szCs w:val="32"/>
          <w:lang w:eastAsia="zh-CN"/>
        </w:rPr>
        <w:t>（一）提高更新效率</w:t>
      </w:r>
    </w:p>
    <w:p>
      <w:pPr>
        <w:ind w:firstLine="640" w:firstLineChars="200"/>
        <w:jc w:val="both"/>
        <w:rPr>
          <w:rFonts w:hint="eastAsia" w:ascii="Times New Roman" w:hAnsi="Times New Roman" w:eastAsia="仿宋_GB2312" w:cs="Times New Roman"/>
          <w:snapToGrid w:val="0"/>
          <w:color w:val="auto"/>
          <w:kern w:val="0"/>
          <w:sz w:val="32"/>
          <w:szCs w:val="32"/>
        </w:rPr>
      </w:pPr>
      <w:r>
        <w:rPr>
          <w:rFonts w:hint="eastAsia" w:ascii="Times New Roman" w:hAnsi="Times New Roman" w:eastAsia="仿宋_GB2312" w:cs="Times New Roman"/>
          <w:snapToGrid w:val="0"/>
          <w:color w:val="auto"/>
          <w:kern w:val="0"/>
          <w:sz w:val="32"/>
          <w:szCs w:val="32"/>
          <w:lang w:eastAsia="zh-CN"/>
        </w:rPr>
        <w:t>用</w:t>
      </w:r>
      <w:r>
        <w:rPr>
          <w:rFonts w:hint="eastAsia" w:ascii="Times New Roman" w:hAnsi="Times New Roman" w:eastAsia="仿宋_GB2312" w:cs="Times New Roman"/>
          <w:snapToGrid w:val="0"/>
          <w:color w:val="auto"/>
          <w:kern w:val="0"/>
          <w:sz w:val="32"/>
          <w:szCs w:val="32"/>
        </w:rPr>
        <w:t>好用活政府信息公开平台等公众参与平台，增强信息公开的时效性，提高信息更新频率，加快信息更新速度。力求更新的政府信息做到准确、及时、完整。</w:t>
      </w:r>
    </w:p>
    <w:p>
      <w:pPr>
        <w:ind w:firstLine="640" w:firstLineChars="200"/>
        <w:jc w:val="both"/>
        <w:rPr>
          <w:rFonts w:hint="eastAsia" w:ascii="Times New Roman" w:hAnsi="Times New Roman" w:eastAsia="仿宋_GB2312" w:cs="Times New Roman"/>
          <w:snapToGrid w:val="0"/>
          <w:color w:val="auto"/>
          <w:kern w:val="0"/>
          <w:sz w:val="32"/>
          <w:szCs w:val="32"/>
          <w:lang w:eastAsia="zh-CN"/>
        </w:rPr>
      </w:pPr>
      <w:r>
        <w:rPr>
          <w:rFonts w:hint="eastAsia" w:ascii="Times New Roman" w:hAnsi="Times New Roman" w:eastAsia="仿宋_GB2312" w:cs="Times New Roman"/>
          <w:snapToGrid w:val="0"/>
          <w:color w:val="auto"/>
          <w:kern w:val="0"/>
          <w:sz w:val="32"/>
          <w:szCs w:val="32"/>
          <w:lang w:eastAsia="zh-CN"/>
        </w:rPr>
        <w:t>（二）加强队伍建设</w:t>
      </w:r>
    </w:p>
    <w:p>
      <w:pPr>
        <w:ind w:firstLine="640" w:firstLineChars="200"/>
        <w:jc w:val="both"/>
        <w:rPr>
          <w:rFonts w:ascii="Times New Roman" w:hAnsi="Times New Roman" w:eastAsia="仿宋_GB2312"/>
          <w:snapToGrid w:val="0"/>
          <w:color w:val="auto"/>
          <w:kern w:val="0"/>
          <w:sz w:val="32"/>
          <w:szCs w:val="32"/>
        </w:rPr>
      </w:pPr>
      <w:r>
        <w:rPr>
          <w:rFonts w:hint="eastAsia" w:ascii="Times New Roman" w:hAnsi="Times New Roman" w:eastAsia="仿宋_GB2312"/>
          <w:snapToGrid w:val="0"/>
          <w:color w:val="auto"/>
          <w:kern w:val="0"/>
          <w:sz w:val="32"/>
          <w:szCs w:val="32"/>
        </w:rPr>
        <w:t>保障信息公开工作人员的稳定性，加强干部队伍思想和业务培训，强化各科室信息上报工作规范性，提高日常信息公开可操作性。不断提高责任意识和服务意识，确保政务公开工作高质量开展。</w:t>
      </w:r>
      <w:r>
        <w:rPr>
          <w:rFonts w:ascii="Times New Roman" w:hAnsi="Times New Roman" w:eastAsia="仿宋_GB2312"/>
          <w:snapToGrid w:val="0"/>
          <w:color w:val="auto"/>
          <w:kern w:val="0"/>
          <w:sz w:val="32"/>
          <w:szCs w:val="32"/>
        </w:rPr>
        <w:t xml:space="preserve"> </w:t>
      </w:r>
    </w:p>
    <w:p>
      <w:pPr>
        <w:ind w:firstLine="640" w:firstLineChars="200"/>
        <w:jc w:val="both"/>
        <w:rPr>
          <w:rFonts w:hint="eastAsia" w:ascii="Times New Roman" w:hAnsi="Times New Roman" w:eastAsia="仿宋_GB2312" w:cs="Times New Roman"/>
          <w:snapToGrid w:val="0"/>
          <w:color w:val="auto"/>
          <w:kern w:val="0"/>
          <w:sz w:val="32"/>
          <w:szCs w:val="32"/>
          <w:lang w:eastAsia="zh-CN"/>
        </w:rPr>
      </w:pPr>
      <w:r>
        <w:rPr>
          <w:rFonts w:hint="eastAsia" w:ascii="Times New Roman" w:hAnsi="Times New Roman" w:eastAsia="仿宋_GB2312" w:cs="Times New Roman"/>
          <w:snapToGrid w:val="0"/>
          <w:color w:val="auto"/>
          <w:kern w:val="0"/>
          <w:sz w:val="32"/>
          <w:szCs w:val="32"/>
          <w:lang w:eastAsia="zh-CN"/>
        </w:rPr>
        <w:t>（三）加大宣传普及</w:t>
      </w:r>
    </w:p>
    <w:p>
      <w:pPr>
        <w:ind w:firstLine="640" w:firstLineChars="200"/>
        <w:jc w:val="both"/>
        <w:rPr>
          <w:rFonts w:hint="eastAsia" w:ascii="Times New Roman" w:hAnsi="Times New Roman" w:eastAsia="仿宋_GB2312" w:cs="Times New Roman"/>
          <w:snapToGrid w:val="0"/>
          <w:color w:val="auto"/>
          <w:kern w:val="0"/>
          <w:sz w:val="32"/>
          <w:szCs w:val="32"/>
        </w:rPr>
      </w:pPr>
      <w:r>
        <w:rPr>
          <w:rFonts w:hint="eastAsia" w:ascii="Times New Roman" w:hAnsi="Times New Roman" w:eastAsia="仿宋_GB2312" w:cs="Times New Roman"/>
          <w:snapToGrid w:val="0"/>
          <w:color w:val="auto"/>
          <w:kern w:val="0"/>
          <w:sz w:val="32"/>
          <w:szCs w:val="32"/>
        </w:rPr>
        <w:t>加大信息公开工作的宣传力度，不断提高公众对政府信息公开的认知度，切实紧密结合重点中心工作和群众关注的热点，努力形成机关干部认真抓好政府信息公开、群众积极关心政府信息公开的社会氛围。</w:t>
      </w:r>
    </w:p>
    <w:p>
      <w:pPr>
        <w:ind w:firstLine="640" w:firstLineChars="200"/>
        <w:jc w:val="both"/>
        <w:rPr>
          <w:rFonts w:ascii="Times New Roman" w:hAnsi="Times New Roman" w:eastAsia="仿宋_GB2312"/>
          <w:snapToGrid w:val="0"/>
          <w:color w:val="auto"/>
          <w:kern w:val="0"/>
          <w:sz w:val="24"/>
        </w:rPr>
      </w:pPr>
      <w:r>
        <w:rPr>
          <w:rFonts w:hint="eastAsia" w:ascii="黑体" w:hAnsi="Calibri" w:eastAsia="黑体" w:cs="黑体"/>
          <w:color w:val="auto"/>
          <w:sz w:val="32"/>
          <w:szCs w:val="32"/>
        </w:rPr>
        <w:t>七、其他需要报告的事项</w:t>
      </w:r>
    </w:p>
    <w:p>
      <w:pPr>
        <w:ind w:firstLine="640" w:firstLineChars="200"/>
        <w:jc w:val="both"/>
        <w:rPr>
          <w:rFonts w:ascii="Times New Roman" w:hAnsi="Times New Roman" w:eastAsia="仿宋_GB2312"/>
          <w:snapToGrid w:val="0"/>
          <w:color w:val="auto"/>
          <w:kern w:val="0"/>
          <w:sz w:val="32"/>
          <w:szCs w:val="32"/>
        </w:rPr>
      </w:pPr>
      <w:r>
        <w:rPr>
          <w:rFonts w:hint="eastAsia" w:ascii="Times New Roman" w:hAnsi="Times New Roman" w:eastAsia="仿宋_GB2312"/>
          <w:snapToGrid w:val="0"/>
          <w:color w:val="auto"/>
          <w:kern w:val="0"/>
          <w:sz w:val="32"/>
          <w:szCs w:val="32"/>
        </w:rPr>
        <w:t>本年度无其他需要报告的事项</w:t>
      </w:r>
    </w:p>
    <w:p>
      <w:pPr>
        <w:ind w:firstLine="420" w:firstLineChars="200"/>
        <w:jc w:val="both"/>
        <w:rPr>
          <w:color w:val="auto"/>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0733C6E"/>
    <w:multiLevelType w:val="singleLevel"/>
    <w:tmpl w:val="D0733C6E"/>
    <w:lvl w:ilvl="0" w:tentative="0">
      <w:start w:val="3"/>
      <w:numFmt w:val="chineseCounting"/>
      <w:suff w:val="nothing"/>
      <w:lvlText w:val="%1、"/>
      <w:lvlJc w:val="left"/>
      <w:rPr>
        <w:rFonts w:hint="eastAsia"/>
      </w:rPr>
    </w:lvl>
  </w:abstractNum>
  <w:abstractNum w:abstractNumId="1">
    <w:nsid w:val="5E0ACBEE"/>
    <w:multiLevelType w:val="singleLevel"/>
    <w:tmpl w:val="5E0ACBEE"/>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4C11"/>
    <w:rsid w:val="00103F45"/>
    <w:rsid w:val="00634A50"/>
    <w:rsid w:val="007D1746"/>
    <w:rsid w:val="00AF4C11"/>
    <w:rsid w:val="00C674B6"/>
    <w:rsid w:val="00EF01F9"/>
    <w:rsid w:val="00F82D57"/>
    <w:rsid w:val="0CC06F6C"/>
    <w:rsid w:val="11A17635"/>
    <w:rsid w:val="11ED1088"/>
    <w:rsid w:val="15230755"/>
    <w:rsid w:val="2E1F44EA"/>
    <w:rsid w:val="34E12C00"/>
    <w:rsid w:val="379C2F8A"/>
    <w:rsid w:val="3B2E796F"/>
    <w:rsid w:val="52102E2E"/>
    <w:rsid w:val="59820DE7"/>
    <w:rsid w:val="67FA1D2A"/>
    <w:rsid w:val="6B791280"/>
    <w:rsid w:val="6EE32A10"/>
    <w:rsid w:val="759965BD"/>
    <w:rsid w:val="790817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385</Words>
  <Characters>2199</Characters>
  <Lines>18</Lines>
  <Paragraphs>5</Paragraphs>
  <TotalTime>1</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2019-12-30T06:36:00Z</dcterms:created>
  <dc:creator>Administrator</dc:creator>
  <cp:lastModifiedBy>Administrator</cp:lastModifiedBy>
  <cp:lastPrinted>2019-12-31T08:23:00Z</cp:lastPrinted>
  <dcterms:modified xsi:type="dcterms:W3CDTF">2020-01-06T10:01:29Z</dcterms:modified>
  <dc:title>宁波南部商务区管委会2019年度政府信息公开年度报告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